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4A01E" w14:textId="1009F457" w:rsidR="00EF2814" w:rsidRPr="00BB4D3A" w:rsidRDefault="003E79F2" w:rsidP="005E4145">
      <w:pPr>
        <w:pStyle w:val="DocHead"/>
        <w:spacing w:before="0" w:after="0" w:line="300" w:lineRule="atLeast"/>
        <w:ind w:left="-119" w:right="-136" w:firstLine="119"/>
        <w:rPr>
          <w:szCs w:val="24"/>
        </w:rPr>
      </w:pPr>
      <w:r w:rsidRPr="00BB4D3A">
        <w:t>1</w:t>
      </w:r>
      <w:r w:rsidR="00DB4F69" w:rsidRPr="00BB4D3A">
        <w:t>4</w:t>
      </w:r>
      <w:r w:rsidRPr="00BB4D3A">
        <w:rPr>
          <w:vertAlign w:val="superscript"/>
        </w:rPr>
        <w:t>th</w:t>
      </w:r>
      <w:r w:rsidRPr="00BB4D3A">
        <w:t xml:space="preserve"> International Conference on Precision, Micro, </w:t>
      </w:r>
      <w:proofErr w:type="spellStart"/>
      <w:r w:rsidRPr="00BB4D3A">
        <w:t>Meso</w:t>
      </w:r>
      <w:proofErr w:type="spellEnd"/>
      <w:r w:rsidRPr="00BB4D3A">
        <w:t xml:space="preserve"> and </w:t>
      </w:r>
      <w:proofErr w:type="spellStart"/>
      <w:r w:rsidRPr="00BB4D3A">
        <w:t>Nano</w:t>
      </w:r>
      <w:proofErr w:type="spellEnd"/>
      <w:r w:rsidRPr="00BB4D3A">
        <w:t xml:space="preserve"> Engineering</w:t>
      </w:r>
    </w:p>
    <w:p w14:paraId="1C2EE049" w14:textId="77777777" w:rsidR="00B76844" w:rsidRPr="00BB4D3A" w:rsidRDefault="00B76844" w:rsidP="005E4145">
      <w:pPr>
        <w:spacing w:line="300" w:lineRule="atLeast"/>
        <w:jc w:val="center"/>
        <w:rPr>
          <w:b/>
          <w:bCs/>
          <w:sz w:val="32"/>
          <w:szCs w:val="32"/>
        </w:rPr>
      </w:pPr>
      <w:r w:rsidRPr="00BB4D3A">
        <w:rPr>
          <w:b/>
          <w:bCs/>
          <w:sz w:val="32"/>
          <w:szCs w:val="32"/>
        </w:rPr>
        <w:t xml:space="preserve">Numerical analysis on effects of tapered </w:t>
      </w:r>
      <w:proofErr w:type="spellStart"/>
      <w:r w:rsidRPr="00BB4D3A">
        <w:rPr>
          <w:b/>
          <w:bCs/>
          <w:sz w:val="32"/>
          <w:szCs w:val="32"/>
        </w:rPr>
        <w:t>microchannels</w:t>
      </w:r>
      <w:proofErr w:type="spellEnd"/>
      <w:r w:rsidRPr="00BB4D3A">
        <w:rPr>
          <w:b/>
          <w:bCs/>
          <w:sz w:val="32"/>
          <w:szCs w:val="32"/>
        </w:rPr>
        <w:t xml:space="preserve"> for</w:t>
      </w:r>
    </w:p>
    <w:p w14:paraId="1B4FA1CD" w14:textId="4D5F11B5" w:rsidR="00EF2814" w:rsidRPr="00BB4D3A" w:rsidRDefault="00B76844" w:rsidP="005E4145">
      <w:pPr>
        <w:spacing w:line="300" w:lineRule="atLeast"/>
        <w:jc w:val="center"/>
        <w:rPr>
          <w:color w:val="FF0000"/>
          <w:sz w:val="32"/>
          <w:szCs w:val="32"/>
        </w:rPr>
      </w:pPr>
      <w:proofErr w:type="gramStart"/>
      <w:r w:rsidRPr="00BB4D3A">
        <w:rPr>
          <w:b/>
          <w:bCs/>
          <w:sz w:val="32"/>
          <w:szCs w:val="32"/>
        </w:rPr>
        <w:t>thermo-hydraulic</w:t>
      </w:r>
      <w:proofErr w:type="gramEnd"/>
      <w:r w:rsidRPr="00BB4D3A">
        <w:rPr>
          <w:b/>
          <w:bCs/>
          <w:sz w:val="32"/>
          <w:szCs w:val="32"/>
        </w:rPr>
        <w:t xml:space="preserve"> performance enhancement</w:t>
      </w:r>
    </w:p>
    <w:p w14:paraId="58FEF589" w14:textId="3754E431" w:rsidR="00EF2814" w:rsidRPr="00BB4D3A" w:rsidRDefault="003B2EA7" w:rsidP="005E4145">
      <w:pPr>
        <w:pStyle w:val="Els-Author"/>
        <w:tabs>
          <w:tab w:val="center" w:pos="5189"/>
          <w:tab w:val="left" w:pos="9525"/>
        </w:tabs>
        <w:spacing w:after="0" w:line="300" w:lineRule="atLeast"/>
        <w:ind w:right="2"/>
        <w:rPr>
          <w:lang w:eastAsia="zh-CN"/>
        </w:rPr>
      </w:pPr>
      <w:bookmarkStart w:id="0" w:name="_Hlk171673057"/>
      <w:r w:rsidRPr="00BB4D3A">
        <w:rPr>
          <w:sz w:val="24"/>
          <w:szCs w:val="18"/>
        </w:rPr>
        <w:t>Anup Malik</w:t>
      </w:r>
      <w:r w:rsidRPr="00BB4D3A">
        <w:rPr>
          <w:sz w:val="24"/>
          <w:szCs w:val="18"/>
          <w:vertAlign w:val="superscript"/>
        </w:rPr>
        <w:t xml:space="preserve"> </w:t>
      </w:r>
      <w:r w:rsidR="006E5584" w:rsidRPr="00BB4D3A">
        <w:rPr>
          <w:sz w:val="24"/>
          <w:szCs w:val="18"/>
          <w:vertAlign w:val="superscript"/>
        </w:rPr>
        <w:t>a</w:t>
      </w:r>
      <w:r w:rsidRPr="00BB4D3A">
        <w:rPr>
          <w:sz w:val="24"/>
          <w:szCs w:val="18"/>
          <w:vertAlign w:val="superscript"/>
        </w:rPr>
        <w:t>,</w:t>
      </w:r>
      <w:r w:rsidR="006E5584" w:rsidRPr="00BB4D3A">
        <w:t>*</w:t>
      </w:r>
      <w:r w:rsidR="001A5982" w:rsidRPr="00BB4D3A">
        <w:rPr>
          <w:sz w:val="24"/>
          <w:szCs w:val="18"/>
        </w:rPr>
        <w:t>,</w:t>
      </w:r>
      <w:bookmarkEnd w:id="0"/>
      <w:r w:rsidRPr="00BB4D3A">
        <w:rPr>
          <w:sz w:val="24"/>
          <w:szCs w:val="18"/>
        </w:rPr>
        <w:t xml:space="preserve"> Shashank Singh</w:t>
      </w:r>
      <w:r w:rsidRPr="00BB4D3A">
        <w:rPr>
          <w:sz w:val="24"/>
          <w:szCs w:val="18"/>
          <w:vertAlign w:val="superscript"/>
        </w:rPr>
        <w:t>a</w:t>
      </w:r>
      <w:r w:rsidRPr="00BB4D3A">
        <w:rPr>
          <w:sz w:val="24"/>
          <w:szCs w:val="18"/>
        </w:rPr>
        <w:t>, Harlal Singh Mali</w:t>
      </w:r>
      <w:r w:rsidRPr="00BB4D3A">
        <w:rPr>
          <w:sz w:val="24"/>
          <w:szCs w:val="18"/>
          <w:vertAlign w:val="superscript"/>
        </w:rPr>
        <w:t>a</w:t>
      </w:r>
    </w:p>
    <w:p w14:paraId="77EB457E" w14:textId="3DB504D0" w:rsidR="0021238B" w:rsidRPr="00BB4D3A" w:rsidRDefault="00D00842" w:rsidP="005E4145">
      <w:pPr>
        <w:pStyle w:val="Els-footnote"/>
        <w:spacing w:line="300" w:lineRule="atLeast"/>
        <w:ind w:firstLine="0"/>
        <w:jc w:val="center"/>
        <w:rPr>
          <w:sz w:val="18"/>
          <w:szCs w:val="18"/>
          <w:lang w:val="de-DE"/>
        </w:rPr>
      </w:pPr>
      <w:proofErr w:type="gramStart"/>
      <w:r w:rsidRPr="00BB4D3A">
        <w:rPr>
          <w:sz w:val="18"/>
          <w:szCs w:val="18"/>
          <w:vertAlign w:val="superscript"/>
        </w:rPr>
        <w:t>a</w:t>
      </w:r>
      <w:proofErr w:type="gramEnd"/>
      <w:r w:rsidR="00DB2C4C" w:rsidRPr="00BB4D3A">
        <w:rPr>
          <w:sz w:val="18"/>
          <w:szCs w:val="18"/>
          <w:vertAlign w:val="superscript"/>
        </w:rPr>
        <w:t xml:space="preserve"> </w:t>
      </w:r>
      <w:r w:rsidR="003B2EA7" w:rsidRPr="00BB4D3A">
        <w:rPr>
          <w:sz w:val="18"/>
          <w:szCs w:val="18"/>
        </w:rPr>
        <w:t>Department of Mechanical Engineering,</w:t>
      </w:r>
      <w:r w:rsidR="005E4145" w:rsidRPr="00BB4D3A">
        <w:rPr>
          <w:sz w:val="18"/>
          <w:szCs w:val="18"/>
        </w:rPr>
        <w:t xml:space="preserve"> </w:t>
      </w:r>
      <w:r w:rsidR="003B2EA7" w:rsidRPr="00BB4D3A">
        <w:rPr>
          <w:sz w:val="18"/>
          <w:szCs w:val="18"/>
          <w:lang w:val="de-DE"/>
        </w:rPr>
        <w:t>Malaviya National Institute of Technology Jaipur, India 302017</w:t>
      </w:r>
    </w:p>
    <w:p w14:paraId="47834269" w14:textId="7C23CD6F" w:rsidR="00EF2814" w:rsidRPr="00BB4D3A" w:rsidRDefault="00EF2814" w:rsidP="005E4145">
      <w:pPr>
        <w:pStyle w:val="Els-footnote"/>
        <w:spacing w:line="300" w:lineRule="atLeast"/>
        <w:ind w:firstLine="0"/>
        <w:jc w:val="center"/>
        <w:rPr>
          <w:sz w:val="18"/>
          <w:szCs w:val="18"/>
        </w:rPr>
      </w:pPr>
      <w:r w:rsidRPr="00BB4D3A">
        <w:rPr>
          <w:sz w:val="18"/>
          <w:szCs w:val="18"/>
        </w:rPr>
        <w:t>*</w:t>
      </w:r>
      <w:r w:rsidR="003B2EA7" w:rsidRPr="00BB4D3A">
        <w:rPr>
          <w:sz w:val="18"/>
          <w:szCs w:val="18"/>
        </w:rPr>
        <w:t xml:space="preserve">Corresponding author e-mail address: </w:t>
      </w:r>
      <w:hyperlink r:id="rId8" w:history="1">
        <w:r w:rsidR="00685824" w:rsidRPr="00BB4D3A">
          <w:rPr>
            <w:rStyle w:val="Hyperlink"/>
            <w:sz w:val="18"/>
            <w:szCs w:val="18"/>
          </w:rPr>
          <w:t>anupmalik321@gmail.com</w:t>
        </w:r>
      </w:hyperlink>
    </w:p>
    <w:p w14:paraId="6D865838" w14:textId="77777777" w:rsidR="00685824" w:rsidRPr="00BB4D3A" w:rsidRDefault="00685824" w:rsidP="005E4145">
      <w:pPr>
        <w:pStyle w:val="Els-footnote"/>
        <w:spacing w:line="300" w:lineRule="atLeast"/>
        <w:ind w:firstLine="0"/>
        <w:jc w:val="center"/>
        <w:rPr>
          <w:sz w:val="18"/>
          <w:szCs w:val="18"/>
        </w:rPr>
      </w:pPr>
    </w:p>
    <w:p w14:paraId="7D2F0696" w14:textId="4CC2D86A" w:rsidR="00162523" w:rsidRPr="00BB4D3A" w:rsidRDefault="00EF2814" w:rsidP="005E4145">
      <w:pPr>
        <w:pStyle w:val="Els-Abstract-head"/>
        <w:spacing w:line="300" w:lineRule="atLeast"/>
        <w:jc w:val="both"/>
        <w:rPr>
          <w:b w:val="0"/>
          <w:bCs/>
          <w:sz w:val="20"/>
        </w:rPr>
      </w:pPr>
      <w:r w:rsidRPr="00BB4D3A">
        <w:rPr>
          <w:sz w:val="20"/>
        </w:rPr>
        <w:t>Abstract</w:t>
      </w:r>
      <w:r w:rsidR="007762B6" w:rsidRPr="00BB4D3A">
        <w:rPr>
          <w:sz w:val="20"/>
        </w:rPr>
        <w:t xml:space="preserve">: </w:t>
      </w:r>
    </w:p>
    <w:p w14:paraId="209D528F" w14:textId="51AE9B19" w:rsidR="00162523" w:rsidRPr="00BB4D3A" w:rsidRDefault="00C1705E" w:rsidP="005E4145">
      <w:pPr>
        <w:spacing w:line="300" w:lineRule="atLeast"/>
        <w:jc w:val="both"/>
        <w:rPr>
          <w:bCs/>
          <w:lang w:val="en-US"/>
        </w:rPr>
      </w:pPr>
      <w:proofErr w:type="spellStart"/>
      <w:r w:rsidRPr="00BB4D3A">
        <w:rPr>
          <w:bCs/>
          <w:lang w:val="en-US"/>
        </w:rPr>
        <w:t>Microchannel</w:t>
      </w:r>
      <w:proofErr w:type="spellEnd"/>
      <w:r w:rsidRPr="00BB4D3A">
        <w:rPr>
          <w:bCs/>
          <w:lang w:val="en-US"/>
        </w:rPr>
        <w:t xml:space="preserve"> heat dissipation devices are advanced cooling systems utilizing miniature channels to enhance heat transfer efficiency, making them ideal for high-performance electronics. These devices feature high heat transfer coefficients and compact sizes, allowing superior cooling performance in space-constrained applications. This work presents 3D numerical investigations on the effects of width, height</w:t>
      </w:r>
      <w:r w:rsidR="00F6185A" w:rsidRPr="00BB4D3A">
        <w:rPr>
          <w:bCs/>
          <w:lang w:val="en-US"/>
        </w:rPr>
        <w:t xml:space="preserve"> </w:t>
      </w:r>
      <w:r w:rsidRPr="00BB4D3A">
        <w:rPr>
          <w:bCs/>
          <w:lang w:val="en-US"/>
        </w:rPr>
        <w:t xml:space="preserve">and both simultaneously tapered </w:t>
      </w:r>
      <w:proofErr w:type="spellStart"/>
      <w:r w:rsidRPr="00BB4D3A">
        <w:rPr>
          <w:bCs/>
          <w:lang w:val="en-US"/>
        </w:rPr>
        <w:t>microchannels</w:t>
      </w:r>
      <w:proofErr w:type="spellEnd"/>
      <w:r w:rsidRPr="00BB4D3A">
        <w:rPr>
          <w:bCs/>
          <w:lang w:val="en-US"/>
        </w:rPr>
        <w:t xml:space="preserve"> for thermo-hydraulic performance enhancement within</w:t>
      </w:r>
      <w:r w:rsidR="00F6185A" w:rsidRPr="00BB4D3A">
        <w:rPr>
          <w:bCs/>
          <w:lang w:val="en-US"/>
        </w:rPr>
        <w:t xml:space="preserve"> </w:t>
      </w:r>
      <w:r w:rsidRPr="00BB4D3A">
        <w:rPr>
          <w:bCs/>
          <w:lang w:val="en-US"/>
        </w:rPr>
        <w:t>the range of 100-300 Reynolds number (</w:t>
      </w:r>
      <w:r w:rsidRPr="00BB4D3A">
        <w:rPr>
          <w:rFonts w:ascii="Cambria Math" w:hAnsi="Cambria Math" w:cs="Cambria Math"/>
          <w:bCs/>
          <w:lang w:val="en-US"/>
        </w:rPr>
        <w:t>𝑅𝑒</w:t>
      </w:r>
      <w:r w:rsidRPr="00BB4D3A">
        <w:rPr>
          <w:bCs/>
          <w:lang w:val="en-US"/>
        </w:rPr>
        <w:t xml:space="preserve">). All the tapered cases show better thermal performance compared to conventional </w:t>
      </w:r>
      <w:proofErr w:type="spellStart"/>
      <w:r w:rsidRPr="00BB4D3A">
        <w:rPr>
          <w:bCs/>
          <w:lang w:val="en-US"/>
        </w:rPr>
        <w:t>microchannel</w:t>
      </w:r>
      <w:proofErr w:type="spellEnd"/>
      <w:r w:rsidRPr="00BB4D3A">
        <w:rPr>
          <w:bCs/>
          <w:lang w:val="en-US"/>
        </w:rPr>
        <w:t xml:space="preserve">. The maximum thermal performance enhancement of 30% is found for highest both tapered case at </w:t>
      </w:r>
      <w:r w:rsidRPr="00BB4D3A">
        <w:rPr>
          <w:rFonts w:ascii="Cambria Math" w:hAnsi="Cambria Math" w:cs="Cambria Math"/>
          <w:bCs/>
          <w:lang w:val="en-US"/>
        </w:rPr>
        <w:t>𝑅𝑒</w:t>
      </w:r>
      <w:r w:rsidRPr="00BB4D3A">
        <w:rPr>
          <w:bCs/>
          <w:lang w:val="en-US"/>
        </w:rPr>
        <w:t xml:space="preserve">=300. All the cases show higher relative pressure drop than conventional </w:t>
      </w:r>
      <w:proofErr w:type="spellStart"/>
      <w:r w:rsidRPr="00BB4D3A">
        <w:rPr>
          <w:bCs/>
          <w:lang w:val="en-US"/>
        </w:rPr>
        <w:t>microchannel</w:t>
      </w:r>
      <w:proofErr w:type="spellEnd"/>
      <w:r w:rsidRPr="00BB4D3A">
        <w:rPr>
          <w:bCs/>
          <w:lang w:val="en-US"/>
        </w:rPr>
        <w:t xml:space="preserve"> at all </w:t>
      </w:r>
      <w:r w:rsidRPr="00BB4D3A">
        <w:rPr>
          <w:rFonts w:ascii="Cambria Math" w:hAnsi="Cambria Math" w:cs="Cambria Math"/>
          <w:bCs/>
          <w:lang w:val="en-US"/>
        </w:rPr>
        <w:t>𝑅𝑒</w:t>
      </w:r>
      <w:r w:rsidRPr="00BB4D3A">
        <w:rPr>
          <w:bCs/>
          <w:lang w:val="en-US"/>
        </w:rPr>
        <w:t xml:space="preserve">, which shows poor hydraulic performance. According to this study, only width tapering in </w:t>
      </w:r>
      <w:proofErr w:type="spellStart"/>
      <w:r w:rsidRPr="00BB4D3A">
        <w:rPr>
          <w:bCs/>
          <w:lang w:val="en-US"/>
        </w:rPr>
        <w:t>microchannels</w:t>
      </w:r>
      <w:proofErr w:type="spellEnd"/>
      <w:r w:rsidRPr="00BB4D3A">
        <w:rPr>
          <w:bCs/>
          <w:lang w:val="en-US"/>
        </w:rPr>
        <w:t xml:space="preserve"> is suggested for thermo-hydraulic performance enhancement in </w:t>
      </w:r>
      <w:proofErr w:type="spellStart"/>
      <w:r w:rsidRPr="00BB4D3A">
        <w:rPr>
          <w:bCs/>
          <w:lang w:val="en-US"/>
        </w:rPr>
        <w:t>microchannel</w:t>
      </w:r>
      <w:proofErr w:type="spellEnd"/>
      <w:r w:rsidRPr="00BB4D3A">
        <w:rPr>
          <w:bCs/>
          <w:lang w:val="en-US"/>
        </w:rPr>
        <w:t xml:space="preserve"> based heat dissipation devices.</w:t>
      </w:r>
    </w:p>
    <w:p w14:paraId="169638BE" w14:textId="3F15A945" w:rsidR="00EF2814" w:rsidRPr="00BB4D3A" w:rsidRDefault="00EF2814" w:rsidP="005E4145">
      <w:pPr>
        <w:pStyle w:val="Els-keywords"/>
        <w:spacing w:before="120" w:after="120" w:line="300" w:lineRule="atLeast"/>
        <w:jc w:val="both"/>
        <w:rPr>
          <w:sz w:val="20"/>
        </w:rPr>
      </w:pPr>
      <w:r w:rsidRPr="00BB4D3A">
        <w:rPr>
          <w:b/>
          <w:bCs/>
          <w:sz w:val="20"/>
        </w:rPr>
        <w:t>Keywords:</w:t>
      </w:r>
      <w:r w:rsidRPr="00BB4D3A">
        <w:rPr>
          <w:sz w:val="20"/>
        </w:rPr>
        <w:t xml:space="preserve"> </w:t>
      </w:r>
      <w:r w:rsidR="00C1705E" w:rsidRPr="00BB4D3A">
        <w:rPr>
          <w:sz w:val="20"/>
        </w:rPr>
        <w:t>Microchannel heat sink, Tapering, Heat transfer, Pressure drop, Performance enhancement</w:t>
      </w:r>
      <w:r w:rsidR="00C24495" w:rsidRPr="00BB4D3A">
        <w:rPr>
          <w:sz w:val="20"/>
        </w:rPr>
        <w:t xml:space="preserve"> </w:t>
      </w:r>
    </w:p>
    <w:p w14:paraId="5F20BD82" w14:textId="77777777" w:rsidR="003312C3" w:rsidRPr="00BB4D3A" w:rsidRDefault="003312C3" w:rsidP="005E4145">
      <w:pPr>
        <w:pStyle w:val="Els-1storder-head"/>
        <w:spacing w:before="0" w:after="120" w:line="300" w:lineRule="atLeast"/>
        <w:sectPr w:rsidR="003312C3" w:rsidRPr="00BB4D3A" w:rsidSect="00144425">
          <w:headerReference w:type="even" r:id="rId9"/>
          <w:headerReference w:type="default" r:id="rId10"/>
          <w:headerReference w:type="first" r:id="rId11"/>
          <w:footnotePr>
            <w:numFmt w:val="chicago"/>
          </w:footnotePr>
          <w:type w:val="continuous"/>
          <w:pgSz w:w="11907" w:h="16840" w:code="9"/>
          <w:pgMar w:top="1440" w:right="1440" w:bottom="1440" w:left="1440" w:header="907" w:footer="1253" w:gutter="0"/>
          <w:cols w:space="720"/>
          <w:titlePg/>
          <w:docGrid w:linePitch="360"/>
        </w:sectPr>
      </w:pPr>
    </w:p>
    <w:p w14:paraId="27404639" w14:textId="2838C92F" w:rsidR="00EF2814" w:rsidRPr="00BB4D3A" w:rsidRDefault="00313DA6" w:rsidP="005E4145">
      <w:pPr>
        <w:pStyle w:val="Els-1storder-head"/>
        <w:spacing w:before="0" w:after="120" w:line="300" w:lineRule="atLeast"/>
      </w:pPr>
      <w:r w:rsidRPr="00BB4D3A">
        <w:lastRenderedPageBreak/>
        <w:t>Introduction</w:t>
      </w:r>
    </w:p>
    <w:p w14:paraId="035F1C5D" w14:textId="7C038624" w:rsidR="00B54672" w:rsidRPr="00BB4D3A" w:rsidRDefault="00B54672" w:rsidP="005E4145">
      <w:pPr>
        <w:pStyle w:val="Els-body-text"/>
        <w:spacing w:after="120" w:line="300" w:lineRule="atLeast"/>
        <w:ind w:firstLine="284"/>
      </w:pPr>
      <w:r w:rsidRPr="00BB4D3A">
        <w:t xml:space="preserve">Microelectronic chips [1], aircraft systems [2], and batteries [3] are among the high heat flux thermal management applications where the constant rise in heat dissipation has become a major concern in recent years. </w:t>
      </w:r>
      <w:proofErr w:type="spellStart"/>
      <w:r w:rsidRPr="00BB4D3A">
        <w:t>Microchannel</w:t>
      </w:r>
      <w:proofErr w:type="spellEnd"/>
      <w:r w:rsidRPr="00BB4D3A">
        <w:t xml:space="preserve"> heat sinks (MCHSs), which are extensively used in industries to drain heat from high-power density units, have garnered significant interest from academics owing to their several benefits, including large specific surface area and reduced coolant flow rate requirements. Heat transfer techniques are </w:t>
      </w:r>
      <w:proofErr w:type="spellStart"/>
      <w:r w:rsidRPr="00BB4D3A">
        <w:t>characterised</w:t>
      </w:r>
      <w:proofErr w:type="spellEnd"/>
      <w:r w:rsidRPr="00BB4D3A">
        <w:t xml:space="preserve"> as passive or active based on their external energy needs [4]. Active approaches rely on external energy sources to boost coolant heat exchange potential, whereas passive techniques do not require an external power source. Passive approaches entail modifying the MCHS structural design, such as curved channels, adding dimples, ribs, baffles, etc. [5–8]. to the channel surface, in order to generate chaotic advection in the laminar flow. Similarly, the active technique disturbs the flow by applying external time-constant/time-</w:t>
      </w:r>
      <w:r w:rsidRPr="00BB4D3A">
        <w:lastRenderedPageBreak/>
        <w:t xml:space="preserve">varying energy such as pulsing flow, fluid vibration, etc. [9, 10]. </w:t>
      </w:r>
    </w:p>
    <w:p w14:paraId="71D66349" w14:textId="4BB0FAB4" w:rsidR="000D56D7" w:rsidRPr="00BB4D3A" w:rsidRDefault="00B54672" w:rsidP="005E4145">
      <w:pPr>
        <w:pStyle w:val="Els-body-text"/>
        <w:spacing w:after="120" w:line="300" w:lineRule="atLeast"/>
        <w:ind w:firstLine="284"/>
      </w:pPr>
      <w:r w:rsidRPr="00BB4D3A">
        <w:t xml:space="preserve">One of the </w:t>
      </w:r>
      <w:r w:rsidR="000D56D7" w:rsidRPr="00BB4D3A">
        <w:t>aspects</w:t>
      </w:r>
      <w:r w:rsidRPr="00BB4D3A">
        <w:t xml:space="preserve"> in enhancing the thermo-hydraulic performance of MCHS is varying the cross-section of </w:t>
      </w:r>
      <w:proofErr w:type="spellStart"/>
      <w:r w:rsidRPr="00BB4D3A">
        <w:t>microchannel</w:t>
      </w:r>
      <w:proofErr w:type="spellEnd"/>
      <w:r w:rsidRPr="00BB4D3A">
        <w:t xml:space="preserve"> in the direction of fluid flow. Hung and Yan [11] numerically compared </w:t>
      </w:r>
      <w:proofErr w:type="spellStart"/>
      <w:r w:rsidRPr="00BB4D3A">
        <w:t>width</w:t>
      </w:r>
      <w:proofErr w:type="spellEnd"/>
      <w:r w:rsidRPr="00BB4D3A">
        <w:t xml:space="preserve"> tapered MCHS with conventional rectangular </w:t>
      </w:r>
      <w:proofErr w:type="spellStart"/>
      <w:r w:rsidRPr="00BB4D3A">
        <w:t>microchannel</w:t>
      </w:r>
      <w:proofErr w:type="spellEnd"/>
      <w:r w:rsidRPr="00BB4D3A">
        <w:t xml:space="preserve"> heat sink (CRMCHS). They have found the maximum thermal</w:t>
      </w:r>
      <w:r w:rsidR="000D56D7" w:rsidRPr="00BB4D3A">
        <w:t xml:space="preserve"> </w:t>
      </w:r>
      <w:r w:rsidRPr="00BB4D3A">
        <w:t xml:space="preserve">performance enhancement of 16.7% compared to CRMCHS. </w:t>
      </w:r>
      <w:proofErr w:type="spellStart"/>
      <w:r w:rsidRPr="00BB4D3A">
        <w:t>Dehghan</w:t>
      </w:r>
      <w:proofErr w:type="spellEnd"/>
      <w:r w:rsidRPr="00BB4D3A">
        <w:t xml:space="preserve"> et al. [12] numerically investigated</w:t>
      </w:r>
      <w:r w:rsidR="000D56D7" w:rsidRPr="00BB4D3A">
        <w:t xml:space="preserve"> </w:t>
      </w:r>
      <w:r w:rsidRPr="00BB4D3A">
        <w:t>width tapered MCHS. They have found optimum thermal performance for width tapered ratio equal to 0.5.</w:t>
      </w:r>
      <w:r w:rsidR="000D56D7" w:rsidRPr="00BB4D3A">
        <w:t xml:space="preserve"> </w:t>
      </w:r>
    </w:p>
    <w:p w14:paraId="5A87A8AB" w14:textId="77777777" w:rsidR="00EE6B07" w:rsidRPr="00BB4D3A" w:rsidRDefault="00B54672" w:rsidP="005E4145">
      <w:pPr>
        <w:pStyle w:val="Els-body-text"/>
        <w:spacing w:after="120" w:line="300" w:lineRule="atLeast"/>
        <w:ind w:firstLine="284"/>
      </w:pPr>
      <w:r w:rsidRPr="00BB4D3A">
        <w:t xml:space="preserve">In this study, the effect of tapered </w:t>
      </w:r>
      <w:proofErr w:type="spellStart"/>
      <w:r w:rsidRPr="00BB4D3A">
        <w:t>microchannels</w:t>
      </w:r>
      <w:proofErr w:type="spellEnd"/>
      <w:r w:rsidRPr="00BB4D3A">
        <w:t xml:space="preserve"> for thermo-hydraulic enhancement of MCHS is</w:t>
      </w:r>
      <w:r w:rsidR="000D56D7" w:rsidRPr="00BB4D3A">
        <w:t xml:space="preserve"> </w:t>
      </w:r>
      <w:r w:rsidRPr="00BB4D3A">
        <w:t>numerically</w:t>
      </w:r>
      <w:r w:rsidR="000D56D7" w:rsidRPr="00BB4D3A">
        <w:t xml:space="preserve"> </w:t>
      </w:r>
      <w:proofErr w:type="spellStart"/>
      <w:r w:rsidRPr="00BB4D3A">
        <w:t>analysed</w:t>
      </w:r>
      <w:proofErr w:type="spellEnd"/>
      <w:r w:rsidRPr="00BB4D3A">
        <w:t xml:space="preserve"> in 3D. Three types of tapering effects with two levels are considered and their performances</w:t>
      </w:r>
      <w:r w:rsidR="000D56D7" w:rsidRPr="00BB4D3A">
        <w:t xml:space="preserve"> </w:t>
      </w:r>
      <w:r w:rsidRPr="00BB4D3A">
        <w:t xml:space="preserve">are compared with the conventional rectangular </w:t>
      </w:r>
      <w:proofErr w:type="spellStart"/>
      <w:r w:rsidRPr="00BB4D3A">
        <w:t>microchannel</w:t>
      </w:r>
      <w:proofErr w:type="spellEnd"/>
      <w:r w:rsidRPr="00BB4D3A">
        <w:t xml:space="preserve"> (CRMC) at varying Reynolds number (</w:t>
      </w:r>
      <w:r w:rsidRPr="00BB4D3A">
        <w:rPr>
          <w:rFonts w:ascii="Cambria Math" w:hAnsi="Cambria Math" w:cs="Cambria Math"/>
        </w:rPr>
        <w:t>𝑅𝑒</w:t>
      </w:r>
      <w:r w:rsidRPr="00BB4D3A">
        <w:t>).</w:t>
      </w:r>
      <w:r w:rsidR="000D56D7" w:rsidRPr="00BB4D3A">
        <w:t xml:space="preserve"> </w:t>
      </w:r>
      <w:r w:rsidRPr="00BB4D3A">
        <w:t xml:space="preserve">The thermal and hydraulic characteristics are </w:t>
      </w:r>
      <w:proofErr w:type="spellStart"/>
      <w:r w:rsidRPr="00BB4D3A">
        <w:t>analysed</w:t>
      </w:r>
      <w:proofErr w:type="spellEnd"/>
      <w:r w:rsidRPr="00BB4D3A">
        <w:t xml:space="preserve"> and discussed which will paves the way for design</w:t>
      </w:r>
      <w:r w:rsidR="000D56D7" w:rsidRPr="00BB4D3A">
        <w:t xml:space="preserve"> </w:t>
      </w:r>
      <w:r w:rsidRPr="00BB4D3A">
        <w:t>and fabrication of enhanced MCHS for cooling of electronic devices</w:t>
      </w:r>
    </w:p>
    <w:p w14:paraId="640D7044" w14:textId="6C1E1E92" w:rsidR="00CD6EB8" w:rsidRPr="00BB4D3A" w:rsidRDefault="00B54672" w:rsidP="005E4145">
      <w:pPr>
        <w:pStyle w:val="Els-body-text"/>
        <w:spacing w:after="120" w:line="300" w:lineRule="atLeast"/>
        <w:ind w:firstLine="284"/>
      </w:pPr>
      <w:r w:rsidRPr="00BB4D3A">
        <w:lastRenderedPageBreak/>
        <w:t>.</w:t>
      </w:r>
    </w:p>
    <w:p w14:paraId="727C5CED" w14:textId="69071492" w:rsidR="00CD6EB8" w:rsidRPr="00BB4D3A" w:rsidRDefault="000D56D7" w:rsidP="005E4145">
      <w:pPr>
        <w:pStyle w:val="Els-1storder-head"/>
        <w:spacing w:before="0" w:after="120" w:line="300" w:lineRule="atLeast"/>
      </w:pPr>
      <w:r w:rsidRPr="00BB4D3A">
        <w:t>Geometric models</w:t>
      </w:r>
    </w:p>
    <w:p w14:paraId="108A143D" w14:textId="6512F4A8" w:rsidR="001C5EC0" w:rsidRPr="00BB4D3A" w:rsidRDefault="00BB3D87" w:rsidP="005E4145">
      <w:pPr>
        <w:pStyle w:val="Els-body-text"/>
        <w:spacing w:after="120" w:line="300" w:lineRule="atLeast"/>
        <w:ind w:firstLine="284"/>
      </w:pPr>
      <w:r w:rsidRPr="00BB4D3A">
        <w:t>Four types of geometries are selected for this investigation, only width tapered (</w:t>
      </w:r>
      <w:r w:rsidRPr="00BB4D3A">
        <w:rPr>
          <w:rFonts w:ascii="Cambria Math" w:hAnsi="Cambria Math" w:cs="Cambria Math"/>
        </w:rPr>
        <w:t>𝑊𝑇</w:t>
      </w:r>
      <w:r w:rsidRPr="00BB4D3A">
        <w:t>), only height tapered (</w:t>
      </w:r>
      <w:r w:rsidRPr="00BB4D3A">
        <w:rPr>
          <w:rFonts w:ascii="Cambria Math" w:hAnsi="Cambria Math" w:cs="Cambria Math"/>
        </w:rPr>
        <w:t>𝐻𝑇</w:t>
      </w:r>
      <w:r w:rsidRPr="00BB4D3A">
        <w:t xml:space="preserve">), both (width and height) simultaneously tapered and CRMC for comparison of performances. All the models are shown in Fig. 1 </w:t>
      </w:r>
      <w:r w:rsidRPr="00BB4D3A">
        <w:lastRenderedPageBreak/>
        <w:t>with their geometric parameters. Copper and water are chosen as solid and fluid domain materials, respectively. The length (</w:t>
      </w:r>
      <w:r w:rsidRPr="00BB4D3A">
        <w:rPr>
          <w:rFonts w:ascii="Cambria Math" w:hAnsi="Cambria Math" w:cs="Cambria Math"/>
        </w:rPr>
        <w:t>𝐿</w:t>
      </w:r>
      <w:r w:rsidRPr="00BB4D3A">
        <w:t>), width (</w:t>
      </w:r>
      <w:r w:rsidRPr="00BB4D3A">
        <w:rPr>
          <w:rFonts w:ascii="Cambria Math" w:hAnsi="Cambria Math" w:cs="Cambria Math"/>
        </w:rPr>
        <w:t>𝑊</w:t>
      </w:r>
      <w:r w:rsidRPr="00BB4D3A">
        <w:t>) and height (</w:t>
      </w:r>
      <w:r w:rsidRPr="00BB4D3A">
        <w:rPr>
          <w:rFonts w:ascii="Cambria Math" w:hAnsi="Cambria Math" w:cs="Cambria Math"/>
        </w:rPr>
        <w:t>𝐻</w:t>
      </w:r>
      <w:r w:rsidRPr="00BB4D3A">
        <w:t>) of all geometries are 10 mm, 0.7 mm and 0.7 mm, respectively. The height (</w:t>
      </w:r>
      <w:r w:rsidRPr="00BB4D3A">
        <w:rPr>
          <w:rFonts w:ascii="Cambria Math" w:hAnsi="Cambria Math" w:cs="Cambria Math"/>
        </w:rPr>
        <w:t>𝐻𝐶</w:t>
      </w:r>
      <w:r w:rsidRPr="00BB4D3A">
        <w:t>) and width (</w:t>
      </w:r>
      <w:r w:rsidRPr="00BB4D3A">
        <w:rPr>
          <w:rFonts w:ascii="Cambria Math" w:hAnsi="Cambria Math" w:cs="Cambria Math"/>
        </w:rPr>
        <w:t>𝑊𝐶</w:t>
      </w:r>
      <w:r w:rsidRPr="00BB4D3A">
        <w:t>) of CRMC are same as 0.5 mm. They form hydraulic diameter (</w:t>
      </w:r>
      <w:r w:rsidRPr="00BB4D3A">
        <w:rPr>
          <w:rFonts w:ascii="Cambria Math" w:hAnsi="Cambria Math" w:cs="Cambria Math"/>
        </w:rPr>
        <w:t>𝐷</w:t>
      </w:r>
      <w:r w:rsidRPr="00BB4D3A">
        <w:t>ℎ) as 0.5 mm and aspect ratio (</w:t>
      </w:r>
      <w:r w:rsidRPr="00BB4D3A">
        <w:rPr>
          <w:rFonts w:ascii="Cambria Math" w:hAnsi="Cambria Math" w:cs="Cambria Math"/>
        </w:rPr>
        <w:t>𝐴𝑅</w:t>
      </w:r>
      <w:r w:rsidRPr="00BB4D3A">
        <w:t xml:space="preserve">) as 1. </w:t>
      </w:r>
    </w:p>
    <w:p w14:paraId="6D95A961" w14:textId="40E1E971" w:rsidR="00EE6B07" w:rsidRPr="00BB4D3A" w:rsidRDefault="00EE6B07" w:rsidP="005E4145">
      <w:pPr>
        <w:pStyle w:val="Els-body-text"/>
        <w:spacing w:after="120" w:line="300" w:lineRule="atLeast"/>
        <w:ind w:firstLine="284"/>
        <w:jc w:val="center"/>
        <w:sectPr w:rsidR="00EE6B07" w:rsidRPr="00BB4D3A" w:rsidSect="003312C3">
          <w:footnotePr>
            <w:numFmt w:val="chicago"/>
          </w:footnotePr>
          <w:type w:val="continuous"/>
          <w:pgSz w:w="11907" w:h="16840" w:code="9"/>
          <w:pgMar w:top="1440" w:right="1440" w:bottom="1440" w:left="1440" w:header="907" w:footer="1253" w:gutter="0"/>
          <w:cols w:num="2" w:space="709"/>
          <w:titlePg/>
          <w:docGrid w:linePitch="360"/>
        </w:sectPr>
      </w:pPr>
    </w:p>
    <w:p w14:paraId="1DE99195" w14:textId="77777777" w:rsidR="00EE6B07" w:rsidRPr="00BB4D3A" w:rsidRDefault="00EE6B07" w:rsidP="005E4145">
      <w:pPr>
        <w:pStyle w:val="Els-body-text"/>
        <w:spacing w:after="120" w:line="300" w:lineRule="atLeast"/>
        <w:ind w:firstLine="284"/>
        <w:jc w:val="center"/>
      </w:pPr>
    </w:p>
    <w:p w14:paraId="06BA4B23" w14:textId="4516FCB5" w:rsidR="00BB3D87" w:rsidRPr="00BB4D3A" w:rsidRDefault="00BB3D87" w:rsidP="005E4145">
      <w:pPr>
        <w:pStyle w:val="Els-body-text"/>
        <w:spacing w:after="120" w:line="300" w:lineRule="atLeast"/>
        <w:ind w:firstLine="284"/>
        <w:jc w:val="center"/>
      </w:pPr>
      <w:r w:rsidRPr="00BB4D3A">
        <w:rPr>
          <w:noProof/>
          <w:lang w:val="en-IN" w:eastAsia="en-IN"/>
          <w14:ligatures w14:val="standardContextual"/>
        </w:rPr>
        <w:drawing>
          <wp:inline distT="0" distB="0" distL="0" distR="0" wp14:anchorId="786BA8B1" wp14:editId="14ABAEE5">
            <wp:extent cx="5625465" cy="3174365"/>
            <wp:effectExtent l="0" t="0" r="0" b="6985"/>
            <wp:docPr id="223098355"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98355" name="Picture 22309835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89341" cy="3210409"/>
                    </a:xfrm>
                    <a:prstGeom prst="rect">
                      <a:avLst/>
                    </a:prstGeom>
                  </pic:spPr>
                </pic:pic>
              </a:graphicData>
            </a:graphic>
          </wp:inline>
        </w:drawing>
      </w:r>
    </w:p>
    <w:p w14:paraId="62732941" w14:textId="6D844790" w:rsidR="00BB3D87" w:rsidRPr="00BB4D3A" w:rsidRDefault="00BB3D87" w:rsidP="005E4145">
      <w:pPr>
        <w:pStyle w:val="Els-body-text"/>
        <w:spacing w:after="120" w:line="300" w:lineRule="atLeast"/>
        <w:ind w:firstLine="284"/>
        <w:jc w:val="center"/>
      </w:pPr>
      <w:r w:rsidRPr="00BB4D3A">
        <w:t>Figure 1: Schematic diagrams of computational domains (a) CRMC, (b) width tapered, (c) height tapered, and (d) both tapered.</w:t>
      </w:r>
    </w:p>
    <w:p w14:paraId="218FF064" w14:textId="77777777" w:rsidR="00EE6B07" w:rsidRPr="00BB4D3A" w:rsidRDefault="00EE6B07" w:rsidP="005E4145">
      <w:pPr>
        <w:pStyle w:val="Els-body-text"/>
        <w:spacing w:after="120" w:line="300" w:lineRule="atLeast"/>
        <w:ind w:firstLine="284"/>
        <w:sectPr w:rsidR="00EE6B07" w:rsidRPr="00BB4D3A" w:rsidSect="00EE6B07">
          <w:footnotePr>
            <w:numFmt w:val="chicago"/>
          </w:footnotePr>
          <w:type w:val="continuous"/>
          <w:pgSz w:w="11907" w:h="16840" w:code="9"/>
          <w:pgMar w:top="1440" w:right="1440" w:bottom="1440" w:left="1440" w:header="907" w:footer="1253" w:gutter="0"/>
          <w:cols w:space="709"/>
          <w:titlePg/>
          <w:docGrid w:linePitch="360"/>
        </w:sectPr>
      </w:pPr>
    </w:p>
    <w:p w14:paraId="5EF4E04D" w14:textId="2340BCB5" w:rsidR="004623B5" w:rsidRPr="00BB4D3A" w:rsidRDefault="005E4145" w:rsidP="005E4145">
      <w:pPr>
        <w:pStyle w:val="Els-body-text"/>
        <w:spacing w:after="120" w:line="300" w:lineRule="atLeast"/>
        <w:ind w:firstLine="284"/>
      </w:pPr>
      <w:r w:rsidRPr="00BB4D3A">
        <w:lastRenderedPageBreak/>
        <w:t>All the tapered variations have two levels comprising total six cases excluding CRMC case which are tabulated in Table 1 with their tapering values.</w:t>
      </w:r>
    </w:p>
    <w:p w14:paraId="6F995162" w14:textId="023236B5" w:rsidR="00BB3D87" w:rsidRPr="00BB4D3A" w:rsidRDefault="00BB3D87" w:rsidP="005E4145">
      <w:pPr>
        <w:pStyle w:val="Els-body-text"/>
        <w:spacing w:after="120" w:line="300" w:lineRule="atLeast"/>
        <w:ind w:firstLine="284"/>
        <w:jc w:val="center"/>
      </w:pPr>
      <w:r w:rsidRPr="00BB4D3A">
        <w:t>Table 1: Cases with geometric parameters.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610"/>
      </w:tblGrid>
      <w:tr w:rsidR="00BB3D87" w:rsidRPr="00BB4D3A" w14:paraId="74437211" w14:textId="77777777" w:rsidTr="00C61438">
        <w:trPr>
          <w:trHeight w:val="567"/>
          <w:jc w:val="center"/>
        </w:trPr>
        <w:tc>
          <w:tcPr>
            <w:tcW w:w="0" w:type="auto"/>
            <w:tcBorders>
              <w:top w:val="single" w:sz="4" w:space="0" w:color="auto"/>
              <w:bottom w:val="single" w:sz="4" w:space="0" w:color="auto"/>
            </w:tcBorders>
            <w:vAlign w:val="center"/>
          </w:tcPr>
          <w:p w14:paraId="7B1D3489" w14:textId="18D6C635" w:rsidR="00BB3D87" w:rsidRPr="00BB4D3A" w:rsidRDefault="00F41673" w:rsidP="005E4145">
            <w:pPr>
              <w:pStyle w:val="Els-body-text"/>
              <w:spacing w:after="120" w:line="300" w:lineRule="atLeast"/>
              <w:ind w:firstLine="0"/>
              <w:jc w:val="center"/>
            </w:pPr>
            <w:r w:rsidRPr="00BB4D3A">
              <w:t>Cases</w:t>
            </w:r>
          </w:p>
        </w:tc>
        <w:tc>
          <w:tcPr>
            <w:tcW w:w="0" w:type="auto"/>
            <w:tcBorders>
              <w:top w:val="single" w:sz="4" w:space="0" w:color="auto"/>
              <w:bottom w:val="single" w:sz="4" w:space="0" w:color="auto"/>
            </w:tcBorders>
            <w:vAlign w:val="center"/>
          </w:tcPr>
          <w:p w14:paraId="2A756228" w14:textId="7C89F694" w:rsidR="00BB3D87" w:rsidRPr="00BB4D3A" w:rsidRDefault="00F41673" w:rsidP="005E4145">
            <w:pPr>
              <w:pStyle w:val="Els-body-text"/>
              <w:spacing w:after="120" w:line="300" w:lineRule="atLeast"/>
              <w:ind w:firstLine="0"/>
              <w:jc w:val="center"/>
            </w:pPr>
            <w:r w:rsidRPr="00BB4D3A">
              <w:t xml:space="preserve">Tapered </w:t>
            </w:r>
            <w:proofErr w:type="spellStart"/>
            <w:r w:rsidRPr="00BB4D3A">
              <w:t>microchannels</w:t>
            </w:r>
            <w:proofErr w:type="spellEnd"/>
          </w:p>
        </w:tc>
      </w:tr>
      <w:tr w:rsidR="00BB3D87" w:rsidRPr="00BB4D3A" w14:paraId="77FA2E62" w14:textId="77777777" w:rsidTr="00C61438">
        <w:trPr>
          <w:trHeight w:val="567"/>
          <w:jc w:val="center"/>
        </w:trPr>
        <w:tc>
          <w:tcPr>
            <w:tcW w:w="0" w:type="auto"/>
            <w:tcBorders>
              <w:top w:val="single" w:sz="4" w:space="0" w:color="auto"/>
            </w:tcBorders>
            <w:vAlign w:val="center"/>
          </w:tcPr>
          <w:p w14:paraId="5A7BF8B3" w14:textId="0FB88DA3" w:rsidR="00BB3D87" w:rsidRPr="00BB4D3A" w:rsidRDefault="00F41673" w:rsidP="005E4145">
            <w:pPr>
              <w:pStyle w:val="Els-body-text"/>
              <w:spacing w:after="120" w:line="300" w:lineRule="atLeast"/>
              <w:ind w:firstLine="0"/>
              <w:jc w:val="center"/>
            </w:pPr>
            <w:r w:rsidRPr="00BB4D3A">
              <w:t>CRMC</w:t>
            </w:r>
          </w:p>
        </w:tc>
        <w:tc>
          <w:tcPr>
            <w:tcW w:w="0" w:type="auto"/>
            <w:tcBorders>
              <w:top w:val="single" w:sz="4" w:space="0" w:color="auto"/>
            </w:tcBorders>
            <w:vAlign w:val="center"/>
          </w:tcPr>
          <w:p w14:paraId="6100D50D" w14:textId="1F1E81C1" w:rsidR="00BB3D87" w:rsidRPr="00BB4D3A" w:rsidRDefault="00F41673" w:rsidP="005E4145">
            <w:pPr>
              <w:pStyle w:val="Els-body-text"/>
              <w:spacing w:after="120" w:line="300" w:lineRule="atLeast"/>
              <w:ind w:firstLine="0"/>
              <w:jc w:val="center"/>
            </w:pPr>
            <w:r w:rsidRPr="00BB4D3A">
              <w:t>No taper</w:t>
            </w:r>
          </w:p>
        </w:tc>
      </w:tr>
      <w:tr w:rsidR="00BB3D87" w:rsidRPr="00BB4D3A" w14:paraId="13A2F184" w14:textId="77777777" w:rsidTr="00C61438">
        <w:trPr>
          <w:trHeight w:val="567"/>
          <w:jc w:val="center"/>
        </w:trPr>
        <w:tc>
          <w:tcPr>
            <w:tcW w:w="0" w:type="auto"/>
            <w:vAlign w:val="center"/>
          </w:tcPr>
          <w:p w14:paraId="53D25D90" w14:textId="3459E986" w:rsidR="00BB3D87" w:rsidRPr="00BB4D3A" w:rsidRDefault="00F41673" w:rsidP="005E4145">
            <w:pPr>
              <w:pStyle w:val="Els-body-text"/>
              <w:spacing w:after="120" w:line="300" w:lineRule="atLeast"/>
              <w:ind w:firstLine="0"/>
              <w:jc w:val="center"/>
            </w:pPr>
            <w:r w:rsidRPr="00BB4D3A">
              <w:t>Case-1</w:t>
            </w:r>
          </w:p>
        </w:tc>
        <w:tc>
          <w:tcPr>
            <w:tcW w:w="0" w:type="auto"/>
            <w:vAlign w:val="center"/>
          </w:tcPr>
          <w:p w14:paraId="485C2FCF" w14:textId="5F43C306" w:rsidR="00BB3D87" w:rsidRPr="00BB4D3A" w:rsidRDefault="00F41673" w:rsidP="005E4145">
            <w:pPr>
              <w:pStyle w:val="Els-body-text"/>
              <w:spacing w:after="120" w:line="300" w:lineRule="atLeast"/>
              <w:ind w:firstLine="0"/>
              <w:jc w:val="center"/>
            </w:pPr>
            <w:r w:rsidRPr="00BB4D3A">
              <w:t>Width tapered (0.5 - 0.4 mm)</w:t>
            </w:r>
          </w:p>
        </w:tc>
      </w:tr>
      <w:tr w:rsidR="00BB3D87" w:rsidRPr="00BB4D3A" w14:paraId="649B9486" w14:textId="77777777" w:rsidTr="00C61438">
        <w:trPr>
          <w:trHeight w:val="567"/>
          <w:jc w:val="center"/>
        </w:trPr>
        <w:tc>
          <w:tcPr>
            <w:tcW w:w="0" w:type="auto"/>
            <w:vAlign w:val="center"/>
          </w:tcPr>
          <w:p w14:paraId="6D181C35" w14:textId="4CDFC347" w:rsidR="00BB3D87" w:rsidRPr="00BB4D3A" w:rsidRDefault="00F41673" w:rsidP="005E4145">
            <w:pPr>
              <w:pStyle w:val="Els-body-text"/>
              <w:spacing w:after="120" w:line="300" w:lineRule="atLeast"/>
              <w:ind w:firstLine="0"/>
              <w:jc w:val="center"/>
            </w:pPr>
            <w:r w:rsidRPr="00BB4D3A">
              <w:t>Case-2</w:t>
            </w:r>
          </w:p>
        </w:tc>
        <w:tc>
          <w:tcPr>
            <w:tcW w:w="0" w:type="auto"/>
            <w:vAlign w:val="center"/>
          </w:tcPr>
          <w:p w14:paraId="50FF137D" w14:textId="08979C76" w:rsidR="00BB3D87" w:rsidRPr="00BB4D3A" w:rsidRDefault="004623B5" w:rsidP="005E4145">
            <w:pPr>
              <w:pStyle w:val="Els-body-text"/>
              <w:spacing w:after="120" w:line="300" w:lineRule="atLeast"/>
              <w:ind w:firstLine="0"/>
              <w:jc w:val="center"/>
            </w:pPr>
            <w:r w:rsidRPr="00BB4D3A">
              <w:t>Width tapered (0.5 - 0.3 mm)</w:t>
            </w:r>
          </w:p>
        </w:tc>
      </w:tr>
      <w:tr w:rsidR="00BB3D87" w:rsidRPr="00BB4D3A" w14:paraId="5B9E2A8C" w14:textId="77777777" w:rsidTr="00C61438">
        <w:trPr>
          <w:trHeight w:val="567"/>
          <w:jc w:val="center"/>
        </w:trPr>
        <w:tc>
          <w:tcPr>
            <w:tcW w:w="0" w:type="auto"/>
            <w:vAlign w:val="center"/>
          </w:tcPr>
          <w:p w14:paraId="3F9DCB05" w14:textId="0E0F266F" w:rsidR="00BB3D87" w:rsidRPr="00BB4D3A" w:rsidRDefault="00F41673" w:rsidP="005E4145">
            <w:pPr>
              <w:pStyle w:val="Els-body-text"/>
              <w:spacing w:after="120" w:line="300" w:lineRule="atLeast"/>
              <w:ind w:firstLine="0"/>
              <w:jc w:val="center"/>
            </w:pPr>
            <w:r w:rsidRPr="00BB4D3A">
              <w:t>Case-3</w:t>
            </w:r>
          </w:p>
        </w:tc>
        <w:tc>
          <w:tcPr>
            <w:tcW w:w="0" w:type="auto"/>
            <w:vAlign w:val="center"/>
          </w:tcPr>
          <w:p w14:paraId="23825FB3" w14:textId="6C764A0F" w:rsidR="00BB3D87" w:rsidRPr="00BB4D3A" w:rsidRDefault="004623B5" w:rsidP="005E4145">
            <w:pPr>
              <w:pStyle w:val="Els-body-text"/>
              <w:spacing w:after="120" w:line="300" w:lineRule="atLeast"/>
              <w:ind w:firstLine="0"/>
              <w:jc w:val="center"/>
            </w:pPr>
            <w:r w:rsidRPr="00BB4D3A">
              <w:t>Height tapered (0.5 - 0.4 mm)</w:t>
            </w:r>
          </w:p>
        </w:tc>
      </w:tr>
      <w:tr w:rsidR="00BB3D87" w:rsidRPr="00BB4D3A" w14:paraId="27795C8B" w14:textId="77777777" w:rsidTr="00C61438">
        <w:trPr>
          <w:trHeight w:val="567"/>
          <w:jc w:val="center"/>
        </w:trPr>
        <w:tc>
          <w:tcPr>
            <w:tcW w:w="0" w:type="auto"/>
            <w:vAlign w:val="center"/>
          </w:tcPr>
          <w:p w14:paraId="5DD31280" w14:textId="49A332E6" w:rsidR="00BB3D87" w:rsidRPr="00BB4D3A" w:rsidRDefault="00F41673" w:rsidP="005E4145">
            <w:pPr>
              <w:pStyle w:val="Els-body-text"/>
              <w:spacing w:after="120" w:line="300" w:lineRule="atLeast"/>
              <w:ind w:firstLine="0"/>
              <w:jc w:val="center"/>
            </w:pPr>
            <w:r w:rsidRPr="00BB4D3A">
              <w:t>Case-4</w:t>
            </w:r>
          </w:p>
        </w:tc>
        <w:tc>
          <w:tcPr>
            <w:tcW w:w="0" w:type="auto"/>
            <w:vAlign w:val="center"/>
          </w:tcPr>
          <w:p w14:paraId="0579A9F2" w14:textId="1BDB911C" w:rsidR="00BB3D87" w:rsidRPr="00BB4D3A" w:rsidRDefault="004623B5" w:rsidP="005E4145">
            <w:pPr>
              <w:pStyle w:val="Els-body-text"/>
              <w:spacing w:after="120" w:line="300" w:lineRule="atLeast"/>
              <w:ind w:firstLine="0"/>
              <w:jc w:val="center"/>
            </w:pPr>
            <w:r w:rsidRPr="00BB4D3A">
              <w:t>Height tapered (0.5 - 0.3 mm)</w:t>
            </w:r>
          </w:p>
        </w:tc>
      </w:tr>
      <w:tr w:rsidR="00BB3D87" w:rsidRPr="00BB4D3A" w14:paraId="48BECA09" w14:textId="77777777" w:rsidTr="00C61438">
        <w:trPr>
          <w:trHeight w:val="567"/>
          <w:jc w:val="center"/>
        </w:trPr>
        <w:tc>
          <w:tcPr>
            <w:tcW w:w="0" w:type="auto"/>
            <w:vAlign w:val="center"/>
          </w:tcPr>
          <w:p w14:paraId="75DFF9BD" w14:textId="0C2E1972" w:rsidR="00BB3D87" w:rsidRPr="00BB4D3A" w:rsidRDefault="004623B5" w:rsidP="005E4145">
            <w:pPr>
              <w:pStyle w:val="Els-body-text"/>
              <w:spacing w:after="120" w:line="300" w:lineRule="atLeast"/>
              <w:ind w:firstLine="0"/>
              <w:jc w:val="center"/>
            </w:pPr>
            <w:r w:rsidRPr="00BB4D3A">
              <w:lastRenderedPageBreak/>
              <w:t>Case-5</w:t>
            </w:r>
          </w:p>
        </w:tc>
        <w:tc>
          <w:tcPr>
            <w:tcW w:w="0" w:type="auto"/>
            <w:vAlign w:val="center"/>
          </w:tcPr>
          <w:p w14:paraId="2C7CBF2C" w14:textId="49B3417C" w:rsidR="00BB3D87" w:rsidRPr="00BB4D3A" w:rsidRDefault="004623B5" w:rsidP="005E4145">
            <w:pPr>
              <w:pStyle w:val="Els-body-text"/>
              <w:spacing w:after="120" w:line="300" w:lineRule="atLeast"/>
              <w:ind w:firstLine="0"/>
              <w:jc w:val="center"/>
            </w:pPr>
            <w:r w:rsidRPr="00BB4D3A">
              <w:t>Both tapered (0.5 - 0.4 mm)</w:t>
            </w:r>
          </w:p>
        </w:tc>
      </w:tr>
      <w:tr w:rsidR="00BB3D87" w:rsidRPr="00BB4D3A" w14:paraId="4B281E86" w14:textId="77777777" w:rsidTr="00C61438">
        <w:trPr>
          <w:trHeight w:val="567"/>
          <w:jc w:val="center"/>
        </w:trPr>
        <w:tc>
          <w:tcPr>
            <w:tcW w:w="0" w:type="auto"/>
            <w:tcBorders>
              <w:bottom w:val="single" w:sz="4" w:space="0" w:color="auto"/>
            </w:tcBorders>
            <w:vAlign w:val="center"/>
          </w:tcPr>
          <w:p w14:paraId="5A5986F2" w14:textId="7A0E9E84" w:rsidR="00BB3D87" w:rsidRPr="00BB4D3A" w:rsidRDefault="004623B5" w:rsidP="005E4145">
            <w:pPr>
              <w:pStyle w:val="Els-body-text"/>
              <w:spacing w:after="120" w:line="300" w:lineRule="atLeast"/>
              <w:ind w:firstLine="0"/>
              <w:jc w:val="center"/>
            </w:pPr>
            <w:r w:rsidRPr="00BB4D3A">
              <w:t>Case-6</w:t>
            </w:r>
          </w:p>
        </w:tc>
        <w:tc>
          <w:tcPr>
            <w:tcW w:w="0" w:type="auto"/>
            <w:tcBorders>
              <w:bottom w:val="single" w:sz="4" w:space="0" w:color="auto"/>
            </w:tcBorders>
            <w:vAlign w:val="center"/>
          </w:tcPr>
          <w:p w14:paraId="379ADD4A" w14:textId="477A18F0" w:rsidR="00BB3D87" w:rsidRPr="00BB4D3A" w:rsidRDefault="004623B5" w:rsidP="005E4145">
            <w:pPr>
              <w:pStyle w:val="Els-body-text"/>
              <w:spacing w:after="120" w:line="300" w:lineRule="atLeast"/>
              <w:ind w:firstLine="0"/>
              <w:jc w:val="center"/>
            </w:pPr>
            <w:r w:rsidRPr="00BB4D3A">
              <w:t>Both tapered (0.5 - 0.3 mm)</w:t>
            </w:r>
          </w:p>
        </w:tc>
      </w:tr>
    </w:tbl>
    <w:p w14:paraId="6B7968BC" w14:textId="77777777" w:rsidR="005E4145" w:rsidRPr="00BB4D3A" w:rsidRDefault="005E4145" w:rsidP="005E4145">
      <w:pPr>
        <w:pStyle w:val="Els-1storder-head"/>
        <w:numPr>
          <w:ilvl w:val="0"/>
          <w:numId w:val="0"/>
        </w:numPr>
        <w:spacing w:before="0" w:after="120" w:line="300" w:lineRule="atLeast"/>
      </w:pPr>
    </w:p>
    <w:p w14:paraId="330E0CDC" w14:textId="773C9DAA" w:rsidR="00CD6EB8" w:rsidRPr="00BB4D3A" w:rsidRDefault="004623B5" w:rsidP="005E4145">
      <w:pPr>
        <w:pStyle w:val="Els-1storder-head"/>
        <w:spacing w:before="0" w:after="120" w:line="300" w:lineRule="atLeast"/>
      </w:pPr>
      <w:r w:rsidRPr="00BB4D3A">
        <w:t>Governing equations and boundary conditions</w:t>
      </w:r>
    </w:p>
    <w:p w14:paraId="2EFC0833" w14:textId="0A5CC76E" w:rsidR="00ED6E29" w:rsidRPr="00BB4D3A" w:rsidRDefault="004623B5" w:rsidP="005E4145">
      <w:pPr>
        <w:pStyle w:val="Els-body-text"/>
        <w:spacing w:after="120" w:line="300" w:lineRule="atLeast"/>
        <w:ind w:firstLine="284"/>
      </w:pPr>
      <w:r w:rsidRPr="00BB4D3A">
        <w:t>Governing equations are solved, using FLUENT tool of ANSYS 2022R1</w:t>
      </w:r>
      <w:r w:rsidRPr="00BB4D3A">
        <w:rPr>
          <w:vertAlign w:val="superscript"/>
        </w:rPr>
        <w:t>®</w:t>
      </w:r>
      <w:r w:rsidRPr="00BB4D3A">
        <w:t xml:space="preserve"> computational fluid dynamics (CFD) software, for all flows. The equations are known as the N-S equations, which are as follows:</w:t>
      </w:r>
    </w:p>
    <w:p w14:paraId="039ABE72" w14:textId="18C98F1D" w:rsidR="007E4AE7" w:rsidRPr="00BB4D3A" w:rsidRDefault="007E4AE7" w:rsidP="005E4145">
      <w:pPr>
        <w:pStyle w:val="Els-body-text"/>
        <w:spacing w:after="120" w:line="300" w:lineRule="atLeast"/>
        <w:ind w:firstLine="284"/>
      </w:pPr>
      <w:r w:rsidRPr="00BB4D3A">
        <w:t>Continuity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1149"/>
      </w:tblGrid>
      <w:tr w:rsidR="007E4AE7" w:rsidRPr="00BB4D3A" w14:paraId="4F2DEE01" w14:textId="77777777" w:rsidTr="00FA394E">
        <w:trPr>
          <w:trHeight w:val="567"/>
        </w:trPr>
        <w:tc>
          <w:tcPr>
            <w:tcW w:w="6799" w:type="dxa"/>
            <w:vAlign w:val="center"/>
          </w:tcPr>
          <w:p w14:paraId="0FF807FA" w14:textId="202A4BDB" w:rsidR="007E4AE7" w:rsidRPr="00BB4D3A" w:rsidRDefault="007E4AE7" w:rsidP="005E4145">
            <w:pPr>
              <w:pStyle w:val="Els-body-text"/>
              <w:spacing w:after="120" w:line="300" w:lineRule="atLeast"/>
              <w:ind w:firstLine="284"/>
              <w:jc w:val="center"/>
            </w:pPr>
            <m:oMathPara>
              <m:oMath>
                <m:r>
                  <m:rPr>
                    <m:sty m:val="p"/>
                  </m:rPr>
                  <w:rPr>
                    <w:rFonts w:ascii="Cambria Math" w:hAnsi="Cambria Math"/>
                  </w:rPr>
                  <m:t>∇</m:t>
                </m:r>
                <m:r>
                  <w:rPr>
                    <w:rFonts w:ascii="Cambria Math" w:hAnsi="Cambria Math"/>
                  </w:rPr>
                  <m:t>∙</m:t>
                </m:r>
                <m:acc>
                  <m:accPr>
                    <m:chr m:val="⃗"/>
                    <m:ctrlPr>
                      <w:rPr>
                        <w:rFonts w:ascii="Cambria Math" w:hAnsi="Cambria Math"/>
                        <w:i/>
                      </w:rPr>
                    </m:ctrlPr>
                  </m:accPr>
                  <m:e>
                    <m:r>
                      <w:rPr>
                        <w:rFonts w:ascii="Cambria Math" w:hAnsi="Cambria Math"/>
                      </w:rPr>
                      <m:t>V</m:t>
                    </m:r>
                  </m:e>
                </m:acc>
                <m:r>
                  <w:rPr>
                    <w:rFonts w:ascii="Cambria Math" w:hAnsi="Cambria Math"/>
                  </w:rPr>
                  <m:t>=0</m:t>
                </m:r>
              </m:oMath>
            </m:oMathPara>
          </w:p>
        </w:tc>
        <w:tc>
          <w:tcPr>
            <w:tcW w:w="2218" w:type="dxa"/>
            <w:vAlign w:val="center"/>
          </w:tcPr>
          <w:p w14:paraId="3956BA18" w14:textId="12C58947" w:rsidR="007E4AE7" w:rsidRPr="00BB4D3A" w:rsidRDefault="007E4AE7" w:rsidP="005E4145">
            <w:pPr>
              <w:pStyle w:val="Els-body-text"/>
              <w:spacing w:after="120" w:line="300" w:lineRule="atLeast"/>
              <w:ind w:firstLine="0"/>
              <w:jc w:val="right"/>
            </w:pPr>
            <w:r w:rsidRPr="00BB4D3A">
              <w:t>(1)</w:t>
            </w:r>
          </w:p>
        </w:tc>
      </w:tr>
    </w:tbl>
    <w:p w14:paraId="136F53BE" w14:textId="040CFE98" w:rsidR="007E4AE7" w:rsidRPr="00BB4D3A" w:rsidRDefault="007E4AE7" w:rsidP="005E4145">
      <w:pPr>
        <w:pStyle w:val="Els-body-text"/>
        <w:spacing w:after="120" w:line="300" w:lineRule="atLeast"/>
        <w:ind w:firstLine="284"/>
      </w:pPr>
      <w:r w:rsidRPr="00BB4D3A">
        <w:t>Momentum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1106"/>
      </w:tblGrid>
      <w:tr w:rsidR="007E4AE7" w:rsidRPr="00BB4D3A" w14:paraId="4FFD82B9" w14:textId="77777777" w:rsidTr="00FA394E">
        <w:trPr>
          <w:trHeight w:val="567"/>
        </w:trPr>
        <w:tc>
          <w:tcPr>
            <w:tcW w:w="6799" w:type="dxa"/>
            <w:vAlign w:val="center"/>
          </w:tcPr>
          <w:p w14:paraId="30EC6256" w14:textId="50CD7174" w:rsidR="007E4AE7" w:rsidRPr="00BB4D3A" w:rsidRDefault="007E4AE7" w:rsidP="005E4145">
            <w:pPr>
              <w:pStyle w:val="Els-body-text"/>
              <w:spacing w:after="120" w:line="300" w:lineRule="atLeast"/>
              <w:ind w:firstLine="284"/>
              <w:jc w:val="center"/>
            </w:pPr>
            <m:oMathPara>
              <m:oMath>
                <m:r>
                  <m:rPr>
                    <m:sty m:val="p"/>
                  </m:rPr>
                  <w:rPr>
                    <w:rFonts w:ascii="Cambria Math" w:hAnsi="Cambria Math"/>
                  </w:rPr>
                  <w:lastRenderedPageBreak/>
                  <m:t>ρ</m:t>
                </m:r>
                <m:d>
                  <m:dPr>
                    <m:ctrlPr>
                      <w:rPr>
                        <w:rFonts w:ascii="Cambria Math" w:hAnsi="Cambria Math"/>
                      </w:rPr>
                    </m:ctrlPr>
                  </m:dPr>
                  <m:e>
                    <m:acc>
                      <m:accPr>
                        <m:chr m:val="⃗"/>
                        <m:ctrlPr>
                          <w:rPr>
                            <w:rFonts w:ascii="Cambria Math" w:hAnsi="Cambria Math"/>
                          </w:rPr>
                        </m:ctrlPr>
                      </m:accPr>
                      <m:e>
                        <m:r>
                          <w:rPr>
                            <w:rFonts w:ascii="Cambria Math" w:hAnsi="Cambria Math"/>
                          </w:rPr>
                          <m:t>V</m:t>
                        </m:r>
                      </m:e>
                    </m:acc>
                    <m:r>
                      <m:rPr>
                        <m:sty m:val="p"/>
                      </m:rPr>
                      <w:rPr>
                        <w:rFonts w:ascii="Cambria Math" w:hAnsi="Cambria Math"/>
                      </w:rPr>
                      <m:t>∙∇</m:t>
                    </m:r>
                    <m:acc>
                      <m:accPr>
                        <m:chr m:val="⃗"/>
                        <m:ctrlPr>
                          <w:rPr>
                            <w:rFonts w:ascii="Cambria Math" w:hAnsi="Cambria Math"/>
                            <w:i/>
                          </w:rPr>
                        </m:ctrlPr>
                      </m:accPr>
                      <m:e>
                        <m:r>
                          <w:rPr>
                            <w:rFonts w:ascii="Cambria Math" w:hAnsi="Cambria Math"/>
                          </w:rPr>
                          <m:t>V</m:t>
                        </m:r>
                      </m:e>
                    </m:acc>
                    <m:ctrlPr>
                      <w:rPr>
                        <w:rFonts w:ascii="Cambria Math" w:hAnsi="Cambria Math"/>
                        <w:i/>
                      </w:rPr>
                    </m:ctrlPr>
                  </m:e>
                </m:d>
                <m:r>
                  <w:rPr>
                    <w:rFonts w:ascii="Cambria Math" w:hAnsi="Cambria Math"/>
                  </w:rPr>
                  <m:t>=-</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acc>
                  <m:accPr>
                    <m:chr m:val="⃗"/>
                    <m:ctrlPr>
                      <w:rPr>
                        <w:rFonts w:ascii="Cambria Math" w:hAnsi="Cambria Math"/>
                        <w:i/>
                      </w:rPr>
                    </m:ctrlPr>
                  </m:accPr>
                  <m:e>
                    <m:r>
                      <w:rPr>
                        <w:rFonts w:ascii="Cambria Math" w:hAnsi="Cambria Math"/>
                      </w:rPr>
                      <m:t>V</m:t>
                    </m:r>
                  </m:e>
                </m:acc>
                <m:r>
                  <w:rPr>
                    <w:rFonts w:ascii="Cambria Math" w:hAnsi="Cambria Math"/>
                  </w:rPr>
                  <m:t>)</m:t>
                </m:r>
              </m:oMath>
            </m:oMathPara>
          </w:p>
        </w:tc>
        <w:tc>
          <w:tcPr>
            <w:tcW w:w="2218" w:type="dxa"/>
            <w:vAlign w:val="center"/>
          </w:tcPr>
          <w:p w14:paraId="77854D90" w14:textId="02E1FBF7" w:rsidR="007E4AE7" w:rsidRPr="00BB4D3A" w:rsidRDefault="007E4AE7" w:rsidP="005E4145">
            <w:pPr>
              <w:pStyle w:val="Els-body-text"/>
              <w:spacing w:after="120" w:line="300" w:lineRule="atLeast"/>
              <w:ind w:firstLine="0"/>
              <w:jc w:val="right"/>
            </w:pPr>
            <w:r w:rsidRPr="00BB4D3A">
              <w:t>(2)</w:t>
            </w:r>
          </w:p>
        </w:tc>
      </w:tr>
    </w:tbl>
    <w:p w14:paraId="63D56BDE" w14:textId="77777777" w:rsidR="007E4AE7" w:rsidRPr="00BB4D3A" w:rsidRDefault="007E4AE7" w:rsidP="005E4145">
      <w:pPr>
        <w:pStyle w:val="Els-body-text"/>
        <w:spacing w:after="120" w:line="300" w:lineRule="atLeast"/>
        <w:ind w:firstLine="284"/>
      </w:pPr>
      <w:r w:rsidRPr="00BB4D3A">
        <w:t>Continuity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1082"/>
      </w:tblGrid>
      <w:tr w:rsidR="007E4AE7" w:rsidRPr="00BB4D3A" w14:paraId="2F25B0B1" w14:textId="77777777" w:rsidTr="00FA394E">
        <w:trPr>
          <w:trHeight w:val="567"/>
        </w:trPr>
        <w:tc>
          <w:tcPr>
            <w:tcW w:w="6799" w:type="dxa"/>
            <w:vAlign w:val="center"/>
          </w:tcPr>
          <w:p w14:paraId="0D981E9C" w14:textId="5EC75590" w:rsidR="007E4AE7" w:rsidRPr="00BB4D3A" w:rsidRDefault="007E4AE7" w:rsidP="005E4145">
            <w:pPr>
              <w:pStyle w:val="Els-body-text"/>
              <w:spacing w:after="120" w:line="300" w:lineRule="atLeast"/>
              <w:ind w:firstLine="284"/>
              <w:jc w:val="center"/>
            </w:pPr>
            <m:oMathPara>
              <m:oMath>
                <m:r>
                  <m:rPr>
                    <m:sty m:val="p"/>
                  </m:rPr>
                  <w:rPr>
                    <w:rFonts w:ascii="Cambria Math" w:hAnsi="Cambria Math"/>
                  </w:rPr>
                  <m:t>ρ</m:t>
                </m:r>
                <m:sSub>
                  <m:sSubPr>
                    <m:ctrlPr>
                      <w:rPr>
                        <w:rFonts w:ascii="Cambria Math" w:hAnsi="Cambria Math"/>
                      </w:rPr>
                    </m:ctrlPr>
                  </m:sSubPr>
                  <m:e>
                    <m:r>
                      <w:rPr>
                        <w:rFonts w:ascii="Cambria Math" w:hAnsi="Cambria Math"/>
                      </w:rPr>
                      <m:t>C</m:t>
                    </m:r>
                  </m:e>
                  <m:sub>
                    <m:r>
                      <w:rPr>
                        <w:rFonts w:ascii="Cambria Math" w:hAnsi="Cambria Math"/>
                      </w:rPr>
                      <m:t>p</m:t>
                    </m:r>
                  </m:sub>
                </m:sSub>
                <m:d>
                  <m:dPr>
                    <m:ctrlPr>
                      <w:rPr>
                        <w:rFonts w:ascii="Cambria Math" w:hAnsi="Cambria Math"/>
                      </w:rPr>
                    </m:ctrlPr>
                  </m:dPr>
                  <m:e>
                    <m:acc>
                      <m:accPr>
                        <m:chr m:val="⃗"/>
                        <m:ctrlPr>
                          <w:rPr>
                            <w:rFonts w:ascii="Cambria Math" w:hAnsi="Cambria Math"/>
                          </w:rPr>
                        </m:ctrlPr>
                      </m:accPr>
                      <m:e>
                        <m:r>
                          <w:rPr>
                            <w:rFonts w:ascii="Cambria Math" w:hAnsi="Cambria Math"/>
                          </w:rPr>
                          <m:t>V</m:t>
                        </m:r>
                      </m:e>
                    </m:acc>
                    <m:r>
                      <m:rPr>
                        <m:sty m:val="p"/>
                      </m:rP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ctrlPr>
                      <w:rPr>
                        <w:rFonts w:ascii="Cambria Math" w:hAnsi="Cambria Math"/>
                        <w:i/>
                      </w:rPr>
                    </m:ctrlPr>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f</m:t>
                    </m:r>
                  </m:sub>
                </m:sSub>
                <m:sSup>
                  <m:sSupPr>
                    <m:ctrlPr>
                      <w:rPr>
                        <w:rFonts w:ascii="Cambria Math" w:hAnsi="Cambria Math"/>
                        <w:i/>
                      </w:rPr>
                    </m:ctrlPr>
                  </m:sSupPr>
                  <m:e>
                    <m:r>
                      <m:rPr>
                        <m:sty m:val="p"/>
                      </m:rPr>
                      <w:rPr>
                        <w:rFonts w:ascii="Cambria Math" w:hAnsi="Cambria Math"/>
                      </w:rPr>
                      <m:t>∇</m:t>
                    </m:r>
                  </m:e>
                  <m:sup>
                    <m:r>
                      <w:rPr>
                        <w:rFonts w:ascii="Cambria Math" w:hAnsi="Cambria Math"/>
                      </w:rPr>
                      <m:t>2</m:t>
                    </m:r>
                  </m:sup>
                </m:sSup>
                <m:sSub>
                  <m:sSubPr>
                    <m:ctrlPr>
                      <w:rPr>
                        <w:rFonts w:ascii="Cambria Math" w:hAnsi="Cambria Math"/>
                        <w:i/>
                      </w:rPr>
                    </m:ctrlPr>
                  </m:sSubPr>
                  <m:e>
                    <m:r>
                      <w:rPr>
                        <w:rFonts w:ascii="Cambria Math" w:hAnsi="Cambria Math"/>
                      </w:rPr>
                      <m:t>T</m:t>
                    </m:r>
                  </m:e>
                  <m:sub>
                    <m:r>
                      <w:rPr>
                        <w:rFonts w:ascii="Cambria Math" w:hAnsi="Cambria Math"/>
                      </w:rPr>
                      <m:t>f</m:t>
                    </m:r>
                  </m:sub>
                </m:sSub>
              </m:oMath>
            </m:oMathPara>
          </w:p>
        </w:tc>
        <w:tc>
          <w:tcPr>
            <w:tcW w:w="2218" w:type="dxa"/>
            <w:vAlign w:val="center"/>
          </w:tcPr>
          <w:p w14:paraId="1FDAFCEC" w14:textId="0EA4453D" w:rsidR="007E4AE7" w:rsidRPr="00BB4D3A" w:rsidRDefault="007E4AE7" w:rsidP="005E4145">
            <w:pPr>
              <w:pStyle w:val="Els-body-text"/>
              <w:spacing w:after="120" w:line="300" w:lineRule="atLeast"/>
              <w:ind w:firstLine="0"/>
              <w:jc w:val="right"/>
            </w:pPr>
            <w:r w:rsidRPr="00BB4D3A">
              <w:t>(</w:t>
            </w:r>
            <w:r w:rsidR="007E4762" w:rsidRPr="00BB4D3A">
              <w:t>3</w:t>
            </w:r>
            <w:r w:rsidRPr="00BB4D3A">
              <w:t>)</w:t>
            </w:r>
          </w:p>
        </w:tc>
      </w:tr>
      <w:tr w:rsidR="007E4762" w:rsidRPr="00BB4D3A" w14:paraId="52933B34" w14:textId="77777777" w:rsidTr="00FA394E">
        <w:trPr>
          <w:trHeight w:val="567"/>
        </w:trPr>
        <w:tc>
          <w:tcPr>
            <w:tcW w:w="6799" w:type="dxa"/>
            <w:vAlign w:val="center"/>
          </w:tcPr>
          <w:p w14:paraId="02A4DC1A" w14:textId="159BA15D" w:rsidR="007E4762" w:rsidRPr="00BB4D3A" w:rsidRDefault="00573F8F" w:rsidP="005E4145">
            <w:pPr>
              <w:pStyle w:val="Els-body-text"/>
              <w:spacing w:after="120" w:line="300" w:lineRule="atLeast"/>
              <w:ind w:firstLine="284"/>
              <w:jc w:val="center"/>
            </w:pPr>
            <m:oMathPara>
              <m:oMath>
                <m:sSub>
                  <m:sSubPr>
                    <m:ctrlPr>
                      <w:rPr>
                        <w:rFonts w:ascii="Cambria Math" w:hAnsi="Cambria Math"/>
                        <w:i/>
                      </w:rPr>
                    </m:ctrlPr>
                  </m:sSubPr>
                  <m:e>
                    <m:r>
                      <w:rPr>
                        <w:rFonts w:ascii="Cambria Math" w:hAnsi="Cambria Math"/>
                      </w:rPr>
                      <m:t>k</m:t>
                    </m:r>
                  </m:e>
                  <m:sub>
                    <m:r>
                      <w:rPr>
                        <w:rFonts w:ascii="Cambria Math" w:hAnsi="Cambria Math"/>
                      </w:rPr>
                      <m:t>s</m:t>
                    </m:r>
                  </m:sub>
                </m:sSub>
                <m:sSup>
                  <m:sSupPr>
                    <m:ctrlPr>
                      <w:rPr>
                        <w:rFonts w:ascii="Cambria Math" w:hAnsi="Cambria Math"/>
                        <w:i/>
                      </w:rPr>
                    </m:ctrlPr>
                  </m:sSupPr>
                  <m:e>
                    <m:r>
                      <m:rPr>
                        <m:sty m:val="p"/>
                      </m:rPr>
                      <w:rPr>
                        <w:rFonts w:ascii="Cambria Math" w:hAnsi="Cambria Math"/>
                      </w:rPr>
                      <m:t>∇</m:t>
                    </m:r>
                  </m:e>
                  <m:sup>
                    <m:r>
                      <w:rPr>
                        <w:rFonts w:ascii="Cambria Math" w:hAnsi="Cambria Math"/>
                      </w:rPr>
                      <m:t>2</m:t>
                    </m:r>
                  </m:sup>
                </m:sSup>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=0</m:t>
                </m:r>
              </m:oMath>
            </m:oMathPara>
          </w:p>
        </w:tc>
        <w:tc>
          <w:tcPr>
            <w:tcW w:w="2218" w:type="dxa"/>
            <w:vAlign w:val="center"/>
          </w:tcPr>
          <w:p w14:paraId="099C7723" w14:textId="0D8EA72A" w:rsidR="007E4762" w:rsidRPr="00BB4D3A" w:rsidRDefault="007E4762" w:rsidP="005E4145">
            <w:pPr>
              <w:pStyle w:val="Els-body-text"/>
              <w:spacing w:after="120" w:line="300" w:lineRule="atLeast"/>
              <w:ind w:firstLine="0"/>
              <w:jc w:val="right"/>
            </w:pPr>
            <w:r w:rsidRPr="00BB4D3A">
              <w:t>(4)</w:t>
            </w:r>
          </w:p>
        </w:tc>
      </w:tr>
    </w:tbl>
    <w:p w14:paraId="67BF878E" w14:textId="46AD4A9C" w:rsidR="00423512" w:rsidRPr="00BB4D3A" w:rsidRDefault="00B55A84" w:rsidP="005E4145">
      <w:pPr>
        <w:pStyle w:val="Els-body-text"/>
        <w:spacing w:after="120" w:line="300" w:lineRule="atLeast"/>
        <w:ind w:firstLine="284"/>
      </w:pPr>
      <w:r w:rsidRPr="00BB4D3A">
        <w:t xml:space="preserve">Velocity-inlet boundary condition is applied at the inlet. The velocities taken are 0.201, 0.301, 0.402, 0.502 and 0.603 m/s, corresponding to </w:t>
      </w:r>
      <w:r w:rsidRPr="00BB4D3A">
        <w:rPr>
          <w:rFonts w:ascii="Cambria Math" w:hAnsi="Cambria Math" w:cs="Cambria Math"/>
        </w:rPr>
        <w:t>𝑅𝑒</w:t>
      </w:r>
      <w:r w:rsidRPr="00BB4D3A">
        <w:t xml:space="preserve"> value of 100, 150, 200, 250 and 300, respectively. The inlet water temperature is 300 K. At the outlet, pressure-outlet condition is applied. Uniform heat flux of 80 W/cm</w:t>
      </w:r>
      <w:r w:rsidRPr="00BB4D3A">
        <w:rPr>
          <w:vertAlign w:val="superscript"/>
        </w:rPr>
        <w:t>2</w:t>
      </w:r>
      <w:r w:rsidRPr="00BB4D3A">
        <w:t xml:space="preserve"> is applied at the bottom surface of computational domain. Coupled walls are applied to solid-fluid interfaces. Adiabatic boundaries are applied to top and side walls.</w:t>
      </w:r>
    </w:p>
    <w:p w14:paraId="44BE9E27" w14:textId="77777777" w:rsidR="00052168" w:rsidRPr="00BB4D3A" w:rsidRDefault="00052168" w:rsidP="005E4145">
      <w:pPr>
        <w:pStyle w:val="Els-body-text"/>
        <w:spacing w:after="120" w:line="300" w:lineRule="atLeast"/>
        <w:ind w:firstLine="284"/>
      </w:pPr>
    </w:p>
    <w:p w14:paraId="4FEDCDC3" w14:textId="6C0EC694" w:rsidR="00CD6EB8" w:rsidRPr="00BB4D3A" w:rsidRDefault="00B55A84" w:rsidP="005E4145">
      <w:pPr>
        <w:pStyle w:val="Els-1storder-head"/>
        <w:spacing w:before="0" w:after="120" w:line="300" w:lineRule="atLeast"/>
      </w:pPr>
      <w:r w:rsidRPr="00BB4D3A">
        <w:rPr>
          <w:lang w:val="en-IN"/>
        </w:rPr>
        <w:t>Solution methods and data reduction</w:t>
      </w:r>
    </w:p>
    <w:p w14:paraId="209D493E" w14:textId="2C8DB659" w:rsidR="00423512" w:rsidRPr="00BB4D3A" w:rsidRDefault="00B55A84" w:rsidP="005E4145">
      <w:pPr>
        <w:pStyle w:val="Els-body-text"/>
        <w:spacing w:after="120" w:line="300" w:lineRule="atLeast"/>
        <w:ind w:firstLine="284"/>
      </w:pPr>
      <w:r w:rsidRPr="00BB4D3A">
        <w:t>For this numerical study, steady-state pressure-based solver is opted. Energy and laminar models are used for determining the thermal and hydraulic characteristics. Semi-Implicit Method for Pressure Linked Equations-Consistent (SIMPLEC) algorithm is employed. The convergence stop criteria are set as 10</w:t>
      </w:r>
      <w:r w:rsidRPr="00BB4D3A">
        <w:rPr>
          <w:vertAlign w:val="superscript"/>
        </w:rPr>
        <w:t>−6</w:t>
      </w:r>
      <w:r w:rsidRPr="00BB4D3A">
        <w:t xml:space="preserve"> for all variables. The following equations are used for data reduction in the present research:</w:t>
      </w:r>
    </w:p>
    <w:p w14:paraId="37876BA1" w14:textId="482637CE" w:rsidR="00B55A84" w:rsidRPr="00BB4D3A" w:rsidRDefault="00B55A84" w:rsidP="005E4145">
      <w:pPr>
        <w:pStyle w:val="Els-body-text"/>
        <w:numPr>
          <w:ilvl w:val="0"/>
          <w:numId w:val="14"/>
        </w:numPr>
        <w:spacing w:after="120" w:line="300" w:lineRule="atLeast"/>
      </w:pPr>
      <w:r w:rsidRPr="00BB4D3A">
        <w:t>Reynolds number (</w:t>
      </w:r>
      <w:r w:rsidRPr="00BB4D3A">
        <w:rPr>
          <w:rFonts w:ascii="Cambria Math" w:hAnsi="Cambria Math" w:cs="Cambria Math"/>
        </w:rPr>
        <w:t>𝑅𝑒</w:t>
      </w:r>
      <w:r w:rsidRPr="00BB4D3A">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517"/>
      </w:tblGrid>
      <w:tr w:rsidR="00B55A84" w:rsidRPr="00BB4D3A" w14:paraId="20EAAAF7" w14:textId="77777777" w:rsidTr="00E51645">
        <w:tc>
          <w:tcPr>
            <w:tcW w:w="8359" w:type="dxa"/>
            <w:vAlign w:val="center"/>
          </w:tcPr>
          <w:p w14:paraId="5B2475F5" w14:textId="4A3B2F98" w:rsidR="00B55A84" w:rsidRPr="00BB4D3A" w:rsidRDefault="00B55A84" w:rsidP="005E4145">
            <w:pPr>
              <w:spacing w:line="300" w:lineRule="atLeast"/>
              <w:jc w:val="center"/>
            </w:pPr>
            <m:oMathPara>
              <m:oMath>
                <m:r>
                  <w:rPr>
                    <w:rFonts w:ascii="Cambria Math" w:hAnsi="Cambria Math"/>
                  </w:rPr>
                  <m:t>Re=</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h</m:t>
                        </m:r>
                      </m:sub>
                    </m:sSub>
                  </m:num>
                  <m:den>
                    <m:sSub>
                      <m:sSubPr>
                        <m:ctrlPr>
                          <w:rPr>
                            <w:rFonts w:ascii="Cambria Math" w:hAnsi="Cambria Math"/>
                            <w:i/>
                          </w:rPr>
                        </m:ctrlPr>
                      </m:sSubPr>
                      <m:e>
                        <m:r>
                          <w:rPr>
                            <w:rFonts w:ascii="Cambria Math" w:hAnsi="Cambria Math"/>
                          </w:rPr>
                          <m:t>μ</m:t>
                        </m:r>
                      </m:e>
                      <m:sub>
                        <m:r>
                          <w:rPr>
                            <w:rFonts w:ascii="Cambria Math" w:hAnsi="Cambria Math"/>
                          </w:rPr>
                          <m:t>f</m:t>
                        </m:r>
                      </m:sub>
                    </m:sSub>
                  </m:den>
                </m:f>
              </m:oMath>
            </m:oMathPara>
          </w:p>
        </w:tc>
        <w:tc>
          <w:tcPr>
            <w:tcW w:w="657" w:type="dxa"/>
            <w:vAlign w:val="center"/>
          </w:tcPr>
          <w:p w14:paraId="20CE2EEB" w14:textId="052F711E" w:rsidR="00B55A84" w:rsidRPr="00BB4D3A" w:rsidRDefault="00B55A84" w:rsidP="005E4145">
            <w:pPr>
              <w:spacing w:line="300" w:lineRule="atLeast"/>
              <w:jc w:val="right"/>
            </w:pPr>
            <w:r w:rsidRPr="00BB4D3A">
              <w:t>(5)</w:t>
            </w:r>
          </w:p>
        </w:tc>
      </w:tr>
    </w:tbl>
    <w:p w14:paraId="4993DA30" w14:textId="0C97B5CC" w:rsidR="00B55A84" w:rsidRPr="00BB4D3A" w:rsidRDefault="00B55A84" w:rsidP="005E4145">
      <w:pPr>
        <w:pStyle w:val="Els-body-text"/>
        <w:spacing w:after="120" w:line="300" w:lineRule="atLeast"/>
        <w:ind w:firstLine="284"/>
      </w:pPr>
      <w:r w:rsidRPr="00BB4D3A">
        <w:t xml:space="preserve">where </w:t>
      </w:r>
      <w:r w:rsidRPr="00BB4D3A">
        <w:rPr>
          <w:rFonts w:ascii="Cambria Math" w:hAnsi="Cambria Math" w:cs="Cambria Math"/>
        </w:rPr>
        <w:t>𝜌</w:t>
      </w:r>
      <w:r w:rsidRPr="00BB4D3A">
        <w:rPr>
          <w:rFonts w:ascii="Cambria Math" w:hAnsi="Cambria Math" w:cs="Cambria Math"/>
          <w:vertAlign w:val="subscript"/>
        </w:rPr>
        <w:t>𝑓</w:t>
      </w:r>
      <w:r w:rsidRPr="00BB4D3A">
        <w:t xml:space="preserve">, </w:t>
      </w:r>
      <w:r w:rsidRPr="00BB4D3A">
        <w:rPr>
          <w:rFonts w:ascii="Cambria Math" w:hAnsi="Cambria Math" w:cs="Cambria Math"/>
        </w:rPr>
        <w:t>𝑉</w:t>
      </w:r>
      <w:r w:rsidRPr="00BB4D3A">
        <w:rPr>
          <w:rFonts w:ascii="Cambria Math" w:hAnsi="Cambria Math" w:cs="Cambria Math"/>
          <w:vertAlign w:val="subscript"/>
        </w:rPr>
        <w:t>𝑖𝑛</w:t>
      </w:r>
      <w:r w:rsidRPr="00BB4D3A">
        <w:t xml:space="preserve">, </w:t>
      </w:r>
      <w:r w:rsidRPr="00BB4D3A">
        <w:rPr>
          <w:rFonts w:ascii="Cambria Math" w:hAnsi="Cambria Math" w:cs="Cambria Math"/>
        </w:rPr>
        <w:t>𝜇</w:t>
      </w:r>
      <w:r w:rsidRPr="00BB4D3A">
        <w:rPr>
          <w:rFonts w:ascii="Cambria Math" w:hAnsi="Cambria Math" w:cs="Cambria Math"/>
          <w:vertAlign w:val="subscript"/>
        </w:rPr>
        <w:t>𝑓</w:t>
      </w:r>
      <w:r w:rsidRPr="00BB4D3A">
        <w:t xml:space="preserve">, and </w:t>
      </w:r>
      <w:r w:rsidRPr="00BB4D3A">
        <w:rPr>
          <w:rFonts w:ascii="Cambria Math" w:hAnsi="Cambria Math" w:cs="Cambria Math"/>
        </w:rPr>
        <w:t>𝐷</w:t>
      </w:r>
      <w:r w:rsidRPr="00BB4D3A">
        <w:rPr>
          <w:vertAlign w:val="subscript"/>
        </w:rPr>
        <w:t>ℎ</w:t>
      </w:r>
      <w:r w:rsidRPr="00BB4D3A">
        <w:t xml:space="preserve"> are fluid density, inlet velocity, fluid dynamic viscosity and hydraulic diameter, respectively.</w:t>
      </w:r>
    </w:p>
    <w:p w14:paraId="645D3BC3" w14:textId="673E757A" w:rsidR="00597D51" w:rsidRPr="00BB4D3A" w:rsidRDefault="00597D51" w:rsidP="005E4145">
      <w:pPr>
        <w:pStyle w:val="Els-body-text"/>
        <w:numPr>
          <w:ilvl w:val="0"/>
          <w:numId w:val="14"/>
        </w:numPr>
        <w:spacing w:after="120" w:line="300" w:lineRule="atLeast"/>
      </w:pPr>
      <w:r w:rsidRPr="00BB4D3A">
        <w:t>Hydraulic diameter (</w:t>
      </w:r>
      <w:r w:rsidRPr="00BB4D3A">
        <w:rPr>
          <w:rFonts w:ascii="Cambria Math" w:hAnsi="Cambria Math" w:cs="Cambria Math"/>
        </w:rPr>
        <w:t>𝐷</w:t>
      </w:r>
      <w:r w:rsidRPr="00BB4D3A">
        <w:t>ℎ):</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0"/>
        <w:gridCol w:w="519"/>
      </w:tblGrid>
      <w:tr w:rsidR="00597D51" w:rsidRPr="00BB4D3A" w14:paraId="6BD19C1D" w14:textId="77777777" w:rsidTr="00E51645">
        <w:tc>
          <w:tcPr>
            <w:tcW w:w="8359" w:type="dxa"/>
            <w:vAlign w:val="center"/>
          </w:tcPr>
          <w:p w14:paraId="622DB883" w14:textId="0FAAF25D" w:rsidR="00597D51" w:rsidRPr="00BB4D3A" w:rsidRDefault="00573F8F" w:rsidP="005E4145">
            <w:pPr>
              <w:spacing w:line="300" w:lineRule="atLeast"/>
              <w:jc w:val="center"/>
            </w:pPr>
            <m:oMathPara>
              <m:oMath>
                <m:sSub>
                  <m:sSubPr>
                    <m:ctrlPr>
                      <w:rPr>
                        <w:rFonts w:ascii="Cambria Math" w:hAnsi="Cambria Math"/>
                        <w:i/>
                      </w:rPr>
                    </m:ctrlPr>
                  </m:sSubPr>
                  <m:e>
                    <m:r>
                      <w:rPr>
                        <w:rFonts w:ascii="Cambria Math" w:hAnsi="Cambria Math"/>
                      </w:rPr>
                      <m:t>D</m:t>
                    </m:r>
                  </m:e>
                  <m:sub>
                    <m:r>
                      <w:rPr>
                        <w:rFonts w:ascii="Cambria Math" w:hAnsi="Cambria Math"/>
                      </w:rPr>
                      <m:t>h</m:t>
                    </m:r>
                  </m:sub>
                </m:sSub>
                <m:r>
                  <w:rPr>
                    <w:rFonts w:ascii="Cambria Math" w:hAnsi="Cambria Math"/>
                  </w:rPr>
                  <m:t>=</m:t>
                </m:r>
                <m:f>
                  <m:fPr>
                    <m:ctrlPr>
                      <w:rPr>
                        <w:rFonts w:ascii="Cambria Math" w:hAnsi="Cambria Math"/>
                        <w:i/>
                      </w:rPr>
                    </m:ctrlPr>
                  </m:fPr>
                  <m:num>
                    <m:r>
                      <w:rPr>
                        <w:rFonts w:ascii="Cambria Math" w:hAnsi="Cambria Math"/>
                      </w:rPr>
                      <m:t>2∙</m:t>
                    </m:r>
                    <m:sSub>
                      <m:sSubPr>
                        <m:ctrlPr>
                          <w:rPr>
                            <w:rFonts w:ascii="Cambria Math" w:hAnsi="Cambria Math"/>
                            <w:i/>
                          </w:rPr>
                        </m:ctrlPr>
                      </m:sSubPr>
                      <m:e>
                        <m:r>
                          <w:rPr>
                            <w:rFonts w:ascii="Cambria Math" w:hAnsi="Cambria Math"/>
                          </w:rPr>
                          <m:t>W</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c</m:t>
                        </m:r>
                      </m:sub>
                    </m:sSub>
                  </m:num>
                  <m:den>
                    <m:sSub>
                      <m:sSubPr>
                        <m:ctrlPr>
                          <w:rPr>
                            <w:rFonts w:ascii="Cambria Math" w:hAnsi="Cambria Math"/>
                            <w:i/>
                          </w:rPr>
                        </m:ctrlPr>
                      </m:sSubPr>
                      <m:e>
                        <m:r>
                          <w:rPr>
                            <w:rFonts w:ascii="Cambria Math" w:hAnsi="Cambria Math"/>
                          </w:rPr>
                          <m:t>W</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c</m:t>
                        </m:r>
                      </m:sub>
                    </m:sSub>
                  </m:den>
                </m:f>
              </m:oMath>
            </m:oMathPara>
          </w:p>
        </w:tc>
        <w:tc>
          <w:tcPr>
            <w:tcW w:w="657" w:type="dxa"/>
            <w:vAlign w:val="center"/>
          </w:tcPr>
          <w:p w14:paraId="0F0C742D" w14:textId="79CF1E60" w:rsidR="00597D51" w:rsidRPr="00BB4D3A" w:rsidRDefault="00597D51" w:rsidP="005E4145">
            <w:pPr>
              <w:spacing w:line="300" w:lineRule="atLeast"/>
              <w:jc w:val="right"/>
            </w:pPr>
            <w:r w:rsidRPr="00BB4D3A">
              <w:t>(6)</w:t>
            </w:r>
          </w:p>
        </w:tc>
      </w:tr>
    </w:tbl>
    <w:p w14:paraId="00A579CE" w14:textId="25845711" w:rsidR="00597D51" w:rsidRPr="00BB4D3A" w:rsidRDefault="00597D51" w:rsidP="005E4145">
      <w:pPr>
        <w:pStyle w:val="Els-body-text"/>
        <w:spacing w:after="120" w:line="300" w:lineRule="atLeast"/>
        <w:ind w:firstLine="284"/>
      </w:pPr>
      <w:r w:rsidRPr="00BB4D3A">
        <w:t xml:space="preserve">where </w:t>
      </w:r>
      <w:r w:rsidRPr="00BB4D3A">
        <w:rPr>
          <w:rFonts w:ascii="Cambria Math" w:hAnsi="Cambria Math" w:cs="Cambria Math"/>
        </w:rPr>
        <w:t>𝑊</w:t>
      </w:r>
      <w:r w:rsidRPr="00BB4D3A">
        <w:rPr>
          <w:rFonts w:ascii="Cambria Math" w:hAnsi="Cambria Math" w:cs="Cambria Math"/>
          <w:vertAlign w:val="subscript"/>
        </w:rPr>
        <w:t>𝑐</w:t>
      </w:r>
      <w:r w:rsidRPr="00BB4D3A">
        <w:t xml:space="preserve"> and </w:t>
      </w:r>
      <w:r w:rsidRPr="00BB4D3A">
        <w:rPr>
          <w:rFonts w:ascii="Cambria Math" w:hAnsi="Cambria Math" w:cs="Cambria Math"/>
        </w:rPr>
        <w:t>𝐻</w:t>
      </w:r>
      <w:r w:rsidRPr="00BB4D3A">
        <w:rPr>
          <w:rFonts w:ascii="Cambria Math" w:hAnsi="Cambria Math" w:cs="Cambria Math"/>
          <w:vertAlign w:val="subscript"/>
        </w:rPr>
        <w:t>𝑐</w:t>
      </w:r>
      <w:r w:rsidRPr="00BB4D3A">
        <w:t xml:space="preserve"> are </w:t>
      </w:r>
      <w:proofErr w:type="spellStart"/>
      <w:r w:rsidRPr="00BB4D3A">
        <w:t>microchannel</w:t>
      </w:r>
      <w:proofErr w:type="spellEnd"/>
      <w:r w:rsidRPr="00BB4D3A">
        <w:t xml:space="preserve"> width and height, respectively.</w:t>
      </w:r>
    </w:p>
    <w:p w14:paraId="2715C75C" w14:textId="06E5B3D1" w:rsidR="00597D51" w:rsidRPr="00BB4D3A" w:rsidRDefault="00597D51" w:rsidP="005E4145">
      <w:pPr>
        <w:pStyle w:val="Els-body-text"/>
        <w:numPr>
          <w:ilvl w:val="0"/>
          <w:numId w:val="14"/>
        </w:numPr>
        <w:spacing w:after="120" w:line="300" w:lineRule="atLeast"/>
      </w:pPr>
      <w:r w:rsidRPr="00BB4D3A">
        <w:t xml:space="preserve">Average </w:t>
      </w:r>
      <w:proofErr w:type="spellStart"/>
      <w:r w:rsidRPr="00BB4D3A">
        <w:t>Nusselt</w:t>
      </w:r>
      <w:proofErr w:type="spellEnd"/>
      <w:r w:rsidRPr="00BB4D3A">
        <w:t xml:space="preserve"> number (</w:t>
      </w:r>
      <w:r w:rsidRPr="00BB4D3A">
        <w:rPr>
          <w:rFonts w:ascii="Cambria Math" w:hAnsi="Cambria Math" w:cs="Cambria Math"/>
        </w:rPr>
        <w:t>𝑁𝑢</w:t>
      </w:r>
      <w:r w:rsidRPr="00BB4D3A">
        <w:rPr>
          <w:rFonts w:ascii="Cambria Math" w:hAnsi="Cambria Math" w:cs="Cambria Math"/>
          <w:vertAlign w:val="subscript"/>
        </w:rPr>
        <w:t>𝑎𝑣𝑔</w:t>
      </w:r>
      <w:r w:rsidRPr="00BB4D3A">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8"/>
        <w:gridCol w:w="521"/>
      </w:tblGrid>
      <w:tr w:rsidR="00597D51" w:rsidRPr="00BB4D3A" w14:paraId="4F9C6E57" w14:textId="77777777" w:rsidTr="00E51645">
        <w:tc>
          <w:tcPr>
            <w:tcW w:w="8359" w:type="dxa"/>
            <w:vAlign w:val="center"/>
          </w:tcPr>
          <w:p w14:paraId="35300E0D" w14:textId="4D41D985" w:rsidR="00597D51" w:rsidRPr="00BB4D3A" w:rsidRDefault="00573F8F" w:rsidP="005E4145">
            <w:pPr>
              <w:spacing w:line="300" w:lineRule="atLeast"/>
              <w:jc w:val="center"/>
            </w:pPr>
            <m:oMathPara>
              <m:oMath>
                <m:sSub>
                  <m:sSubPr>
                    <m:ctrlPr>
                      <w:rPr>
                        <w:rFonts w:ascii="Cambria Math" w:hAnsi="Cambria Math"/>
                        <w:i/>
                      </w:rPr>
                    </m:ctrlPr>
                  </m:sSubPr>
                  <m:e>
                    <m:r>
                      <w:rPr>
                        <w:rFonts w:ascii="Cambria Math" w:hAnsi="Cambria Math"/>
                      </w:rPr>
                      <m:t>Nu</m:t>
                    </m:r>
                  </m:e>
                  <m:sub>
                    <m:r>
                      <w:rPr>
                        <w:rFonts w:ascii="Cambria Math" w:hAnsi="Cambria Math"/>
                      </w:rPr>
                      <m:t>avg</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avg</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h</m:t>
                        </m:r>
                      </m:sub>
                    </m:sSub>
                  </m:num>
                  <m:den>
                    <m:sSub>
                      <m:sSubPr>
                        <m:ctrlPr>
                          <w:rPr>
                            <w:rFonts w:ascii="Cambria Math" w:hAnsi="Cambria Math"/>
                            <w:i/>
                          </w:rPr>
                        </m:ctrlPr>
                      </m:sSubPr>
                      <m:e>
                        <m:r>
                          <w:rPr>
                            <w:rFonts w:ascii="Cambria Math" w:hAnsi="Cambria Math"/>
                          </w:rPr>
                          <m:t>k</m:t>
                        </m:r>
                      </m:e>
                      <m:sub>
                        <m:r>
                          <w:rPr>
                            <w:rFonts w:ascii="Cambria Math" w:hAnsi="Cambria Math"/>
                          </w:rPr>
                          <m:t>f</m:t>
                        </m:r>
                      </m:sub>
                    </m:sSub>
                  </m:den>
                </m:f>
              </m:oMath>
            </m:oMathPara>
          </w:p>
        </w:tc>
        <w:tc>
          <w:tcPr>
            <w:tcW w:w="657" w:type="dxa"/>
            <w:vAlign w:val="center"/>
          </w:tcPr>
          <w:p w14:paraId="0F97DA3F" w14:textId="4DC084C9" w:rsidR="00597D51" w:rsidRPr="00BB4D3A" w:rsidRDefault="00597D51" w:rsidP="005E4145">
            <w:pPr>
              <w:spacing w:line="300" w:lineRule="atLeast"/>
              <w:jc w:val="right"/>
            </w:pPr>
            <w:r w:rsidRPr="00BB4D3A">
              <w:t>(7)</w:t>
            </w:r>
          </w:p>
        </w:tc>
      </w:tr>
    </w:tbl>
    <w:p w14:paraId="3803DA97" w14:textId="0172731F" w:rsidR="00597D51" w:rsidRPr="00BB4D3A" w:rsidRDefault="00597D51" w:rsidP="005E4145">
      <w:pPr>
        <w:pStyle w:val="Els-body-text"/>
        <w:spacing w:after="120" w:line="300" w:lineRule="atLeast"/>
        <w:ind w:firstLine="284"/>
      </w:pPr>
      <w:r w:rsidRPr="00BB4D3A">
        <w:lastRenderedPageBreak/>
        <w:t>where ℎ</w:t>
      </w:r>
      <w:r w:rsidRPr="00BB4D3A">
        <w:rPr>
          <w:rFonts w:ascii="Cambria Math" w:hAnsi="Cambria Math" w:cs="Cambria Math"/>
          <w:vertAlign w:val="subscript"/>
        </w:rPr>
        <w:t>𝑎𝑣𝑔</w:t>
      </w:r>
      <w:r w:rsidRPr="00BB4D3A">
        <w:t xml:space="preserve"> and </w:t>
      </w:r>
      <w:r w:rsidRPr="00BB4D3A">
        <w:rPr>
          <w:rFonts w:ascii="Cambria Math" w:hAnsi="Cambria Math" w:cs="Cambria Math"/>
        </w:rPr>
        <w:t>𝑘</w:t>
      </w:r>
      <w:r w:rsidRPr="00BB4D3A">
        <w:rPr>
          <w:rFonts w:ascii="Cambria Math" w:hAnsi="Cambria Math" w:cs="Cambria Math"/>
          <w:vertAlign w:val="subscript"/>
        </w:rPr>
        <w:t>𝑓</w:t>
      </w:r>
      <w:r w:rsidRPr="00BB4D3A">
        <w:t xml:space="preserve"> are average heat transfer coefficient and thermal conductivity of fluid, respectively.</w:t>
      </w:r>
    </w:p>
    <w:p w14:paraId="790922D9" w14:textId="3994DB7B" w:rsidR="00597D51" w:rsidRPr="00BB4D3A" w:rsidRDefault="00597D51" w:rsidP="005E4145">
      <w:pPr>
        <w:pStyle w:val="Els-body-text"/>
        <w:numPr>
          <w:ilvl w:val="0"/>
          <w:numId w:val="14"/>
        </w:numPr>
        <w:spacing w:after="120" w:line="300" w:lineRule="atLeast"/>
      </w:pPr>
      <w:r w:rsidRPr="00BB4D3A">
        <w:t>Pressure drop (Δ</w:t>
      </w:r>
      <w:r w:rsidRPr="00BB4D3A">
        <w:rPr>
          <w:rFonts w:ascii="Cambria Math" w:hAnsi="Cambria Math" w:cs="Cambria Math"/>
        </w:rPr>
        <w:t>𝑃</w:t>
      </w:r>
      <w:r w:rsidRPr="00BB4D3A">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3"/>
        <w:gridCol w:w="526"/>
      </w:tblGrid>
      <w:tr w:rsidR="00597D51" w:rsidRPr="00BB4D3A" w14:paraId="414AF83B" w14:textId="77777777" w:rsidTr="00E51645">
        <w:tc>
          <w:tcPr>
            <w:tcW w:w="8359" w:type="dxa"/>
            <w:vAlign w:val="center"/>
          </w:tcPr>
          <w:p w14:paraId="144B0006" w14:textId="0CE178D4" w:rsidR="00597D51" w:rsidRPr="00BB4D3A" w:rsidRDefault="00597D51" w:rsidP="005E4145">
            <w:pPr>
              <w:spacing w:line="300" w:lineRule="atLeast"/>
              <w:jc w:val="center"/>
            </w:pPr>
            <m:oMathPara>
              <m:oMath>
                <m:r>
                  <w:rPr>
                    <w:rFonts w:ascii="Cambria Math" w:hAnsi="Cambria Math"/>
                  </w:rPr>
                  <m:t>∆P=</m:t>
                </m:r>
                <m:sSub>
                  <m:sSubPr>
                    <m:ctrlPr>
                      <w:rPr>
                        <w:rFonts w:ascii="Cambria Math" w:hAnsi="Cambria Math"/>
                        <w:i/>
                      </w:rPr>
                    </m:ctrlPr>
                  </m:sSubPr>
                  <m:e>
                    <m:r>
                      <w:rPr>
                        <w:rFonts w:ascii="Cambria Math" w:hAnsi="Cambria Math"/>
                      </w:rPr>
                      <m:t>P</m:t>
                    </m:r>
                  </m:e>
                  <m:sub>
                    <m:r>
                      <w:rPr>
                        <w:rFonts w:ascii="Cambria Math" w:hAnsi="Cambria Math"/>
                      </w:rPr>
                      <m:t>avg, 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avg, o</m:t>
                    </m:r>
                  </m:sub>
                </m:sSub>
              </m:oMath>
            </m:oMathPara>
          </w:p>
        </w:tc>
        <w:tc>
          <w:tcPr>
            <w:tcW w:w="657" w:type="dxa"/>
            <w:vAlign w:val="center"/>
          </w:tcPr>
          <w:p w14:paraId="1C4C9709" w14:textId="03554FAF" w:rsidR="00597D51" w:rsidRPr="00BB4D3A" w:rsidRDefault="00597D51" w:rsidP="005E4145">
            <w:pPr>
              <w:spacing w:line="300" w:lineRule="atLeast"/>
              <w:jc w:val="right"/>
            </w:pPr>
            <w:r w:rsidRPr="00BB4D3A">
              <w:t>(8)</w:t>
            </w:r>
          </w:p>
        </w:tc>
      </w:tr>
    </w:tbl>
    <w:p w14:paraId="3E896FDA" w14:textId="19E01EE6" w:rsidR="00597D51" w:rsidRPr="00BB4D3A" w:rsidRDefault="007A4A5B" w:rsidP="005E4145">
      <w:pPr>
        <w:pStyle w:val="Els-body-text"/>
        <w:spacing w:after="120" w:line="300" w:lineRule="atLeast"/>
        <w:ind w:firstLine="284"/>
      </w:pPr>
      <w:r w:rsidRPr="00BB4D3A">
        <w:t xml:space="preserve">where </w:t>
      </w:r>
      <w:r w:rsidRPr="00BB4D3A">
        <w:rPr>
          <w:rFonts w:ascii="Cambria Math" w:hAnsi="Cambria Math" w:cs="Cambria Math"/>
        </w:rPr>
        <w:t>𝑃</w:t>
      </w:r>
      <w:r w:rsidRPr="00BB4D3A">
        <w:rPr>
          <w:rFonts w:ascii="Cambria Math" w:hAnsi="Cambria Math" w:cs="Cambria Math"/>
          <w:vertAlign w:val="subscript"/>
        </w:rPr>
        <w:t>𝑎𝑣𝑔</w:t>
      </w:r>
      <w:r w:rsidRPr="00BB4D3A">
        <w:rPr>
          <w:vertAlign w:val="subscript"/>
        </w:rPr>
        <w:t xml:space="preserve">, </w:t>
      </w:r>
      <w:r w:rsidRPr="00BB4D3A">
        <w:rPr>
          <w:rFonts w:ascii="Cambria Math" w:hAnsi="Cambria Math" w:cs="Cambria Math"/>
          <w:vertAlign w:val="subscript"/>
        </w:rPr>
        <w:t>𝑖</w:t>
      </w:r>
      <w:r w:rsidRPr="00BB4D3A">
        <w:rPr>
          <w:vertAlign w:val="subscript"/>
        </w:rPr>
        <w:t xml:space="preserve"> </w:t>
      </w:r>
      <w:r w:rsidRPr="00BB4D3A">
        <w:t xml:space="preserve">and </w:t>
      </w:r>
      <w:r w:rsidRPr="00BB4D3A">
        <w:rPr>
          <w:rFonts w:ascii="Cambria Math" w:hAnsi="Cambria Math" w:cs="Cambria Math"/>
        </w:rPr>
        <w:t>𝑃</w:t>
      </w:r>
      <w:r w:rsidRPr="00BB4D3A">
        <w:rPr>
          <w:rFonts w:ascii="Cambria Math" w:hAnsi="Cambria Math" w:cs="Cambria Math"/>
          <w:vertAlign w:val="subscript"/>
        </w:rPr>
        <w:t>𝑎𝑣𝑔</w:t>
      </w:r>
      <w:r w:rsidRPr="00BB4D3A">
        <w:rPr>
          <w:vertAlign w:val="subscript"/>
        </w:rPr>
        <w:t xml:space="preserve">, </w:t>
      </w:r>
      <w:r w:rsidRPr="00BB4D3A">
        <w:rPr>
          <w:rFonts w:ascii="Cambria Math" w:hAnsi="Cambria Math" w:cs="Cambria Math"/>
          <w:vertAlign w:val="subscript"/>
        </w:rPr>
        <w:t>𝑜</w:t>
      </w:r>
      <w:r w:rsidRPr="00BB4D3A">
        <w:rPr>
          <w:vertAlign w:val="subscript"/>
        </w:rPr>
        <w:t xml:space="preserve"> </w:t>
      </w:r>
      <w:r w:rsidRPr="00BB4D3A">
        <w:t>are average pressures at inlet and outlet faces, respectively.</w:t>
      </w:r>
    </w:p>
    <w:p w14:paraId="6B828047" w14:textId="0950226F" w:rsidR="007A4A5B" w:rsidRPr="00BB4D3A" w:rsidRDefault="007A4A5B" w:rsidP="005E4145">
      <w:pPr>
        <w:pStyle w:val="Els-1storder-head"/>
        <w:spacing w:before="0" w:after="120" w:line="300" w:lineRule="atLeast"/>
        <w:rPr>
          <w:lang w:val="en-IN"/>
        </w:rPr>
      </w:pPr>
      <w:r w:rsidRPr="00BB4D3A">
        <w:rPr>
          <w:lang w:val="en-IN"/>
        </w:rPr>
        <w:t>Results and discussion</w:t>
      </w:r>
    </w:p>
    <w:p w14:paraId="11168F1F" w14:textId="297D4F1C" w:rsidR="007A4A5B" w:rsidRPr="00BB4D3A" w:rsidRDefault="007A4A5B" w:rsidP="005E4145">
      <w:pPr>
        <w:pStyle w:val="Els-acknowledgement"/>
        <w:spacing w:before="0" w:after="120" w:line="300" w:lineRule="atLeast"/>
        <w:rPr>
          <w:b w:val="0"/>
        </w:rPr>
      </w:pPr>
      <w:r w:rsidRPr="00BB4D3A">
        <w:rPr>
          <w:b w:val="0"/>
        </w:rPr>
        <w:t>5.1 Grid convergence and validation</w:t>
      </w:r>
    </w:p>
    <w:p w14:paraId="7F832A58" w14:textId="785CC414" w:rsidR="007A4A5B" w:rsidRPr="00BB4D3A" w:rsidRDefault="007A4A5B" w:rsidP="005E4145">
      <w:pPr>
        <w:spacing w:line="300" w:lineRule="atLeast"/>
        <w:ind w:firstLine="284"/>
        <w:jc w:val="both"/>
        <w:rPr>
          <w:lang w:val="en-US"/>
        </w:rPr>
      </w:pPr>
      <w:r w:rsidRPr="00BB4D3A">
        <w:rPr>
          <w:lang w:val="en-US"/>
        </w:rPr>
        <w:t>Grid convergence is studied by using ANSYS Fluent software. Three different poly-</w:t>
      </w:r>
      <w:proofErr w:type="spellStart"/>
      <w:r w:rsidRPr="00BB4D3A">
        <w:rPr>
          <w:lang w:val="en-US"/>
        </w:rPr>
        <w:t>hexcore</w:t>
      </w:r>
      <w:proofErr w:type="spellEnd"/>
      <w:r w:rsidRPr="00BB4D3A">
        <w:rPr>
          <w:lang w:val="en-US"/>
        </w:rPr>
        <w:t xml:space="preserve"> mesh element numbers are taken as 0.3, 0.6 and 1.2 million. The Δ</w:t>
      </w:r>
      <w:r w:rsidRPr="00BB4D3A">
        <w:rPr>
          <w:rFonts w:ascii="Cambria Math" w:hAnsi="Cambria Math" w:cs="Cambria Math"/>
          <w:lang w:val="en-US"/>
        </w:rPr>
        <w:t>𝑃</w:t>
      </w:r>
      <w:r w:rsidRPr="00BB4D3A">
        <w:rPr>
          <w:lang w:val="en-US"/>
        </w:rPr>
        <w:t xml:space="preserve"> variations are calculated for CRMC case at </w:t>
      </w:r>
      <w:r w:rsidRPr="00BB4D3A">
        <w:rPr>
          <w:rFonts w:ascii="Cambria Math" w:hAnsi="Cambria Math" w:cs="Cambria Math"/>
          <w:lang w:val="en-US"/>
        </w:rPr>
        <w:t>𝑅𝑒</w:t>
      </w:r>
      <w:r w:rsidRPr="00BB4D3A">
        <w:rPr>
          <w:lang w:val="en-US"/>
        </w:rPr>
        <w:t>=100. The results of grid convergence study are shown in Table 2. This clearly shows that the 1.2 million cell numbers utilized in the current investigation have an acceptable degree of precision with the relative error of only 0.37%.</w:t>
      </w:r>
    </w:p>
    <w:p w14:paraId="0A5508B4" w14:textId="19FC9D85" w:rsidR="007A4A5B" w:rsidRPr="00BB4D3A" w:rsidRDefault="007A4A5B" w:rsidP="005E4145">
      <w:pPr>
        <w:spacing w:line="300" w:lineRule="atLeast"/>
        <w:jc w:val="center"/>
        <w:rPr>
          <w:lang w:val="en-US"/>
        </w:rPr>
      </w:pPr>
      <w:r w:rsidRPr="00BB4D3A">
        <w:rPr>
          <w:lang w:val="en-US"/>
        </w:rPr>
        <w:t>Table 2: Grid convergence study.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795"/>
        <w:gridCol w:w="1524"/>
      </w:tblGrid>
      <w:tr w:rsidR="007A4A5B" w:rsidRPr="00BB4D3A" w14:paraId="2C1969F4" w14:textId="77777777" w:rsidTr="004467EC">
        <w:trPr>
          <w:trHeight w:val="510"/>
          <w:jc w:val="center"/>
        </w:trPr>
        <w:tc>
          <w:tcPr>
            <w:tcW w:w="0" w:type="auto"/>
            <w:tcBorders>
              <w:top w:val="single" w:sz="4" w:space="0" w:color="auto"/>
              <w:bottom w:val="single" w:sz="4" w:space="0" w:color="auto"/>
            </w:tcBorders>
            <w:vAlign w:val="center"/>
          </w:tcPr>
          <w:p w14:paraId="3DB64BA1" w14:textId="0BE046B8" w:rsidR="007A4A5B" w:rsidRPr="00BB4D3A" w:rsidRDefault="007A4A5B" w:rsidP="005E4145">
            <w:pPr>
              <w:spacing w:line="300" w:lineRule="atLeast"/>
              <w:jc w:val="center"/>
              <w:rPr>
                <w:lang w:val="en-US"/>
              </w:rPr>
            </w:pPr>
            <w:r w:rsidRPr="00BB4D3A">
              <w:rPr>
                <w:lang w:val="en-US"/>
              </w:rPr>
              <w:t>Cell numbers (million)</w:t>
            </w:r>
          </w:p>
        </w:tc>
        <w:tc>
          <w:tcPr>
            <w:tcW w:w="0" w:type="auto"/>
            <w:tcBorders>
              <w:top w:val="single" w:sz="4" w:space="0" w:color="auto"/>
              <w:bottom w:val="single" w:sz="4" w:space="0" w:color="auto"/>
            </w:tcBorders>
            <w:vAlign w:val="center"/>
          </w:tcPr>
          <w:p w14:paraId="15803522" w14:textId="3FCB95B2" w:rsidR="007A4A5B" w:rsidRPr="00BB4D3A" w:rsidRDefault="007A4A5B" w:rsidP="005E4145">
            <w:pPr>
              <w:spacing w:line="300" w:lineRule="atLeast"/>
              <w:jc w:val="center"/>
              <w:rPr>
                <w:lang w:val="en-US"/>
              </w:rPr>
            </w:pPr>
            <w:r w:rsidRPr="00BB4D3A">
              <w:rPr>
                <w:lang w:val="en-US"/>
              </w:rPr>
              <w:t>Δ</w:t>
            </w:r>
            <w:r w:rsidRPr="00BB4D3A">
              <w:rPr>
                <w:rFonts w:ascii="Cambria Math" w:hAnsi="Cambria Math" w:cs="Cambria Math"/>
                <w:lang w:val="en-US"/>
              </w:rPr>
              <w:t>𝑃</w:t>
            </w:r>
            <w:r w:rsidRPr="00BB4D3A">
              <w:rPr>
                <w:lang w:val="en-US"/>
              </w:rPr>
              <w:t xml:space="preserve"> (Pa)</w:t>
            </w:r>
          </w:p>
        </w:tc>
        <w:tc>
          <w:tcPr>
            <w:tcW w:w="0" w:type="auto"/>
            <w:tcBorders>
              <w:top w:val="single" w:sz="4" w:space="0" w:color="auto"/>
              <w:bottom w:val="single" w:sz="4" w:space="0" w:color="auto"/>
            </w:tcBorders>
            <w:vAlign w:val="center"/>
          </w:tcPr>
          <w:p w14:paraId="7283246D" w14:textId="3E3B57B1" w:rsidR="007A4A5B" w:rsidRPr="00BB4D3A" w:rsidRDefault="007A4A5B" w:rsidP="005E4145">
            <w:pPr>
              <w:spacing w:line="300" w:lineRule="atLeast"/>
              <w:jc w:val="center"/>
              <w:rPr>
                <w:lang w:val="en-US"/>
              </w:rPr>
            </w:pPr>
            <w:r w:rsidRPr="00BB4D3A">
              <w:rPr>
                <w:lang w:val="en-US"/>
              </w:rPr>
              <w:t>Relative error (%)</w:t>
            </w:r>
          </w:p>
        </w:tc>
      </w:tr>
      <w:tr w:rsidR="007A4A5B" w:rsidRPr="00BB4D3A" w14:paraId="43532901" w14:textId="77777777" w:rsidTr="004467EC">
        <w:trPr>
          <w:trHeight w:val="510"/>
          <w:jc w:val="center"/>
        </w:trPr>
        <w:tc>
          <w:tcPr>
            <w:tcW w:w="0" w:type="auto"/>
            <w:tcBorders>
              <w:top w:val="single" w:sz="4" w:space="0" w:color="auto"/>
            </w:tcBorders>
            <w:vAlign w:val="center"/>
          </w:tcPr>
          <w:p w14:paraId="66026EF5" w14:textId="70F48A5A" w:rsidR="007A4A5B" w:rsidRPr="00BB4D3A" w:rsidRDefault="007A4A5B" w:rsidP="005E4145">
            <w:pPr>
              <w:spacing w:line="300" w:lineRule="atLeast"/>
              <w:jc w:val="center"/>
              <w:rPr>
                <w:lang w:val="en-US"/>
              </w:rPr>
            </w:pPr>
            <w:r w:rsidRPr="00BB4D3A">
              <w:rPr>
                <w:lang w:val="en-US"/>
              </w:rPr>
              <w:t>0.3</w:t>
            </w:r>
          </w:p>
        </w:tc>
        <w:tc>
          <w:tcPr>
            <w:tcW w:w="0" w:type="auto"/>
            <w:tcBorders>
              <w:top w:val="single" w:sz="4" w:space="0" w:color="auto"/>
            </w:tcBorders>
            <w:vAlign w:val="center"/>
          </w:tcPr>
          <w:p w14:paraId="0667AB7D" w14:textId="0F43DA76" w:rsidR="007A4A5B" w:rsidRPr="00BB4D3A" w:rsidRDefault="007A4A5B" w:rsidP="005E4145">
            <w:pPr>
              <w:spacing w:line="300" w:lineRule="atLeast"/>
              <w:jc w:val="center"/>
              <w:rPr>
                <w:lang w:val="en-US"/>
              </w:rPr>
            </w:pPr>
            <w:r w:rsidRPr="00BB4D3A">
              <w:rPr>
                <w:lang w:val="en-US"/>
              </w:rPr>
              <w:t>268</w:t>
            </w:r>
          </w:p>
        </w:tc>
        <w:tc>
          <w:tcPr>
            <w:tcW w:w="0" w:type="auto"/>
            <w:tcBorders>
              <w:top w:val="single" w:sz="4" w:space="0" w:color="auto"/>
            </w:tcBorders>
            <w:vAlign w:val="center"/>
          </w:tcPr>
          <w:p w14:paraId="522A7EE6" w14:textId="5CC97591" w:rsidR="007A4A5B" w:rsidRPr="00BB4D3A" w:rsidRDefault="007A4A5B" w:rsidP="005E4145">
            <w:pPr>
              <w:spacing w:line="300" w:lineRule="atLeast"/>
              <w:jc w:val="center"/>
              <w:rPr>
                <w:lang w:val="en-US"/>
              </w:rPr>
            </w:pPr>
            <w:r w:rsidRPr="00BB4D3A">
              <w:rPr>
                <w:lang w:val="en-US"/>
              </w:rPr>
              <w:t>-</w:t>
            </w:r>
          </w:p>
        </w:tc>
      </w:tr>
      <w:tr w:rsidR="007A4A5B" w:rsidRPr="00BB4D3A" w14:paraId="3259BEDF" w14:textId="77777777" w:rsidTr="004467EC">
        <w:trPr>
          <w:trHeight w:val="510"/>
          <w:jc w:val="center"/>
        </w:trPr>
        <w:tc>
          <w:tcPr>
            <w:tcW w:w="0" w:type="auto"/>
            <w:vAlign w:val="center"/>
          </w:tcPr>
          <w:p w14:paraId="6858D0F8" w14:textId="2175AB50" w:rsidR="007A4A5B" w:rsidRPr="00BB4D3A" w:rsidRDefault="007A4A5B" w:rsidP="005E4145">
            <w:pPr>
              <w:spacing w:line="300" w:lineRule="atLeast"/>
              <w:jc w:val="center"/>
              <w:rPr>
                <w:lang w:val="en-US"/>
              </w:rPr>
            </w:pPr>
            <w:r w:rsidRPr="00BB4D3A">
              <w:rPr>
                <w:lang w:val="en-US"/>
              </w:rPr>
              <w:t>0.6</w:t>
            </w:r>
          </w:p>
        </w:tc>
        <w:tc>
          <w:tcPr>
            <w:tcW w:w="0" w:type="auto"/>
            <w:vAlign w:val="center"/>
          </w:tcPr>
          <w:p w14:paraId="3255B07B" w14:textId="543A4987" w:rsidR="007A4A5B" w:rsidRPr="00BB4D3A" w:rsidRDefault="007A4A5B" w:rsidP="005E4145">
            <w:pPr>
              <w:spacing w:line="300" w:lineRule="atLeast"/>
              <w:jc w:val="center"/>
              <w:rPr>
                <w:lang w:val="en-US"/>
              </w:rPr>
            </w:pPr>
            <w:r w:rsidRPr="00BB4D3A">
              <w:rPr>
                <w:lang w:val="en-US"/>
              </w:rPr>
              <w:t>266</w:t>
            </w:r>
          </w:p>
        </w:tc>
        <w:tc>
          <w:tcPr>
            <w:tcW w:w="0" w:type="auto"/>
            <w:vAlign w:val="center"/>
          </w:tcPr>
          <w:p w14:paraId="1C60383A" w14:textId="7A2B5782" w:rsidR="007A4A5B" w:rsidRPr="00BB4D3A" w:rsidRDefault="007A4A5B" w:rsidP="005E4145">
            <w:pPr>
              <w:spacing w:line="300" w:lineRule="atLeast"/>
              <w:jc w:val="center"/>
              <w:rPr>
                <w:lang w:val="en-US"/>
              </w:rPr>
            </w:pPr>
            <w:r w:rsidRPr="00BB4D3A">
              <w:rPr>
                <w:lang w:val="en-US"/>
              </w:rPr>
              <w:t>0.75</w:t>
            </w:r>
          </w:p>
        </w:tc>
      </w:tr>
      <w:tr w:rsidR="007A4A5B" w:rsidRPr="00BB4D3A" w14:paraId="1B6DA570" w14:textId="77777777" w:rsidTr="004467EC">
        <w:trPr>
          <w:trHeight w:val="510"/>
          <w:jc w:val="center"/>
        </w:trPr>
        <w:tc>
          <w:tcPr>
            <w:tcW w:w="0" w:type="auto"/>
            <w:tcBorders>
              <w:bottom w:val="single" w:sz="4" w:space="0" w:color="auto"/>
            </w:tcBorders>
            <w:vAlign w:val="center"/>
          </w:tcPr>
          <w:p w14:paraId="37FC3486" w14:textId="5073634A" w:rsidR="007A4A5B" w:rsidRPr="00BB4D3A" w:rsidRDefault="007A4A5B" w:rsidP="005E4145">
            <w:pPr>
              <w:spacing w:line="300" w:lineRule="atLeast"/>
              <w:jc w:val="center"/>
              <w:rPr>
                <w:lang w:val="en-US"/>
              </w:rPr>
            </w:pPr>
            <w:r w:rsidRPr="00BB4D3A">
              <w:rPr>
                <w:lang w:val="en-US"/>
              </w:rPr>
              <w:t>1.2</w:t>
            </w:r>
          </w:p>
        </w:tc>
        <w:tc>
          <w:tcPr>
            <w:tcW w:w="0" w:type="auto"/>
            <w:tcBorders>
              <w:bottom w:val="single" w:sz="4" w:space="0" w:color="auto"/>
            </w:tcBorders>
            <w:vAlign w:val="center"/>
          </w:tcPr>
          <w:p w14:paraId="6177C568" w14:textId="6F1A3E00" w:rsidR="007A4A5B" w:rsidRPr="00BB4D3A" w:rsidRDefault="007A4A5B" w:rsidP="005E4145">
            <w:pPr>
              <w:spacing w:line="300" w:lineRule="atLeast"/>
              <w:jc w:val="center"/>
              <w:rPr>
                <w:lang w:val="en-US"/>
              </w:rPr>
            </w:pPr>
            <w:r w:rsidRPr="00BB4D3A">
              <w:rPr>
                <w:lang w:val="en-US"/>
              </w:rPr>
              <w:t>265</w:t>
            </w:r>
          </w:p>
        </w:tc>
        <w:tc>
          <w:tcPr>
            <w:tcW w:w="0" w:type="auto"/>
            <w:tcBorders>
              <w:bottom w:val="single" w:sz="4" w:space="0" w:color="auto"/>
            </w:tcBorders>
            <w:vAlign w:val="center"/>
          </w:tcPr>
          <w:p w14:paraId="4ADD009F" w14:textId="53C8FBF4" w:rsidR="007A4A5B" w:rsidRPr="00BB4D3A" w:rsidRDefault="007A4A5B" w:rsidP="005E4145">
            <w:pPr>
              <w:spacing w:line="300" w:lineRule="atLeast"/>
              <w:jc w:val="center"/>
              <w:rPr>
                <w:lang w:val="en-US"/>
              </w:rPr>
            </w:pPr>
            <w:r w:rsidRPr="00BB4D3A">
              <w:rPr>
                <w:lang w:val="en-US"/>
              </w:rPr>
              <w:t>0.37</w:t>
            </w:r>
          </w:p>
        </w:tc>
      </w:tr>
    </w:tbl>
    <w:p w14:paraId="598AAFA4" w14:textId="77777777" w:rsidR="007A4A5B" w:rsidRPr="00BB4D3A" w:rsidRDefault="007A4A5B" w:rsidP="005E4145">
      <w:pPr>
        <w:spacing w:line="300" w:lineRule="atLeast"/>
        <w:jc w:val="both"/>
        <w:rPr>
          <w:lang w:val="en-US"/>
        </w:rPr>
      </w:pPr>
    </w:p>
    <w:p w14:paraId="1CE18847" w14:textId="57431C2B" w:rsidR="00234E3F" w:rsidRPr="00BB4D3A" w:rsidRDefault="00234E3F" w:rsidP="005E4145">
      <w:pPr>
        <w:spacing w:line="300" w:lineRule="atLeast"/>
        <w:ind w:firstLine="284"/>
        <w:jc w:val="both"/>
        <w:rPr>
          <w:lang w:val="en-US"/>
        </w:rPr>
      </w:pPr>
      <w:r w:rsidRPr="00BB4D3A">
        <w:rPr>
          <w:lang w:val="en-US"/>
        </w:rPr>
        <w:t xml:space="preserve">Current numerical study is compared with analytical findings by Steinke and </w:t>
      </w:r>
      <w:proofErr w:type="spellStart"/>
      <w:r w:rsidRPr="00BB4D3A">
        <w:rPr>
          <w:lang w:val="en-US"/>
        </w:rPr>
        <w:t>Kandlikar</w:t>
      </w:r>
      <w:proofErr w:type="spellEnd"/>
      <w:r w:rsidRPr="00BB4D3A">
        <w:rPr>
          <w:lang w:val="en-US"/>
        </w:rPr>
        <w:t xml:space="preserve"> [13] for the Δ</w:t>
      </w:r>
      <w:r w:rsidRPr="00BB4D3A">
        <w:rPr>
          <w:rFonts w:ascii="Cambria Math" w:hAnsi="Cambria Math" w:cs="Cambria Math"/>
          <w:lang w:val="en-US"/>
        </w:rPr>
        <w:t>𝑃</w:t>
      </w:r>
      <w:r w:rsidRPr="00BB4D3A">
        <w:rPr>
          <w:lang w:val="en-US"/>
        </w:rPr>
        <w:t xml:space="preserve"> and by Shah and London [14] for the </w:t>
      </w:r>
      <w:r w:rsidRPr="00BB4D3A">
        <w:rPr>
          <w:rFonts w:ascii="Cambria Math" w:hAnsi="Cambria Math" w:cs="Cambria Math"/>
          <w:lang w:val="en-US"/>
        </w:rPr>
        <w:t>𝑁𝑢</w:t>
      </w:r>
      <w:r w:rsidRPr="00BB4D3A">
        <w:rPr>
          <w:rFonts w:ascii="Cambria Math" w:hAnsi="Cambria Math" w:cs="Cambria Math"/>
          <w:vertAlign w:val="subscript"/>
          <w:lang w:val="en-US"/>
        </w:rPr>
        <w:t>𝑎𝑣𝑔</w:t>
      </w:r>
      <w:r w:rsidRPr="00BB4D3A">
        <w:rPr>
          <w:lang w:val="en-US"/>
        </w:rPr>
        <w:t xml:space="preserve">. Results of the comparisons with varying </w:t>
      </w:r>
      <w:r w:rsidRPr="00BB4D3A">
        <w:rPr>
          <w:rFonts w:ascii="Cambria Math" w:hAnsi="Cambria Math" w:cs="Cambria Math"/>
          <w:lang w:val="en-US"/>
        </w:rPr>
        <w:t>𝑅𝑒</w:t>
      </w:r>
      <w:r w:rsidRPr="00BB4D3A">
        <w:rPr>
          <w:lang w:val="en-US"/>
        </w:rPr>
        <w:t xml:space="preserve"> are shown in Fig. 2. Both parameters of current and analytical studies have shown almost similar trends. So, the present numerical findings are in good agreement with the analytical and can be further utilized to examine the thermal performance of all considered cases.</w:t>
      </w:r>
    </w:p>
    <w:p w14:paraId="052D6A3D" w14:textId="77777777" w:rsidR="00DE4904" w:rsidRPr="00BB4D3A" w:rsidRDefault="00DE4904" w:rsidP="005E4145">
      <w:pPr>
        <w:spacing w:line="300" w:lineRule="atLeast"/>
        <w:jc w:val="both"/>
        <w:rPr>
          <w:lang w:val="en-US"/>
        </w:rPr>
      </w:pPr>
    </w:p>
    <w:p w14:paraId="135375D7" w14:textId="66881775" w:rsidR="004467EC" w:rsidRPr="00BB4D3A" w:rsidRDefault="004467EC" w:rsidP="005E4145">
      <w:pPr>
        <w:spacing w:line="300" w:lineRule="atLeast"/>
        <w:jc w:val="center"/>
        <w:rPr>
          <w:lang w:val="en-US"/>
        </w:rPr>
      </w:pPr>
      <w:r w:rsidRPr="00BB4D3A">
        <w:rPr>
          <w:noProof/>
          <w:lang w:val="en-IN" w:eastAsia="en-IN"/>
          <w14:ligatures w14:val="standardContextual"/>
        </w:rPr>
        <w:lastRenderedPageBreak/>
        <w:drawing>
          <wp:inline distT="0" distB="0" distL="0" distR="0" wp14:anchorId="0DF8E283" wp14:editId="44F93A72">
            <wp:extent cx="2603500" cy="1746916"/>
            <wp:effectExtent l="0" t="0" r="6350" b="5715"/>
            <wp:docPr id="249116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116950" name=""/>
                    <pic:cNvPicPr/>
                  </pic:nvPicPr>
                  <pic:blipFill>
                    <a:blip r:embed="rId13"/>
                    <a:stretch>
                      <a:fillRect/>
                    </a:stretch>
                  </pic:blipFill>
                  <pic:spPr>
                    <a:xfrm>
                      <a:off x="0" y="0"/>
                      <a:ext cx="2625902" cy="1761947"/>
                    </a:xfrm>
                    <a:prstGeom prst="rect">
                      <a:avLst/>
                    </a:prstGeom>
                  </pic:spPr>
                </pic:pic>
              </a:graphicData>
            </a:graphic>
          </wp:inline>
        </w:drawing>
      </w:r>
    </w:p>
    <w:p w14:paraId="7A552790" w14:textId="036BCAB5" w:rsidR="004467EC" w:rsidRPr="00BB4D3A" w:rsidRDefault="004467EC" w:rsidP="005E4145">
      <w:pPr>
        <w:spacing w:line="300" w:lineRule="atLeast"/>
        <w:jc w:val="center"/>
        <w:rPr>
          <w:lang w:val="en-US"/>
        </w:rPr>
      </w:pPr>
      <w:r w:rsidRPr="00BB4D3A">
        <w:rPr>
          <w:lang w:val="en-US"/>
        </w:rPr>
        <w:t>Figure 2: Validations of current study.</w:t>
      </w:r>
    </w:p>
    <w:p w14:paraId="037FCCC4" w14:textId="77777777" w:rsidR="005E4145" w:rsidRPr="00BB4D3A" w:rsidRDefault="005E4145" w:rsidP="005E4145">
      <w:pPr>
        <w:spacing w:line="300" w:lineRule="atLeast"/>
        <w:jc w:val="center"/>
        <w:rPr>
          <w:lang w:val="en-US"/>
        </w:rPr>
      </w:pPr>
    </w:p>
    <w:p w14:paraId="4BD92A50" w14:textId="77777777" w:rsidR="00052168" w:rsidRPr="00BB4D3A" w:rsidRDefault="00052168" w:rsidP="005E4145">
      <w:pPr>
        <w:spacing w:line="300" w:lineRule="atLeast"/>
        <w:jc w:val="center"/>
        <w:rPr>
          <w:lang w:val="en-US"/>
        </w:rPr>
      </w:pPr>
    </w:p>
    <w:p w14:paraId="0D6E720C" w14:textId="6BD41FC1" w:rsidR="00C1797C" w:rsidRPr="00BB4D3A" w:rsidRDefault="00C1797C" w:rsidP="005E4145">
      <w:pPr>
        <w:spacing w:line="300" w:lineRule="atLeast"/>
        <w:jc w:val="both"/>
      </w:pPr>
      <w:r w:rsidRPr="00BB4D3A">
        <w:t>5.</w:t>
      </w:r>
      <w:bookmarkStart w:id="1" w:name="_GoBack"/>
      <w:bookmarkEnd w:id="1"/>
      <w:r w:rsidRPr="00BB4D3A">
        <w:t>2 Thermo-hydraulic performance</w:t>
      </w:r>
    </w:p>
    <w:p w14:paraId="162A3B01" w14:textId="113244BF" w:rsidR="00C1797C" w:rsidRPr="00BB4D3A" w:rsidRDefault="00C1797C" w:rsidP="005E4145">
      <w:pPr>
        <w:spacing w:line="300" w:lineRule="atLeast"/>
        <w:ind w:firstLine="284"/>
        <w:jc w:val="both"/>
      </w:pPr>
      <w:r w:rsidRPr="00BB4D3A">
        <w:t xml:space="preserve">The thermal performance of all the tapered cases in terms of </w:t>
      </w:r>
      <w:r w:rsidRPr="00BB4D3A">
        <w:rPr>
          <w:rFonts w:ascii="Cambria Math" w:hAnsi="Cambria Math" w:cs="Cambria Math"/>
        </w:rPr>
        <w:t>𝑁𝑢</w:t>
      </w:r>
      <w:r w:rsidRPr="00BB4D3A">
        <w:rPr>
          <w:rFonts w:ascii="Cambria Math" w:hAnsi="Cambria Math" w:cs="Cambria Math"/>
          <w:vertAlign w:val="subscript"/>
        </w:rPr>
        <w:t>𝑎𝑣𝑔</w:t>
      </w:r>
      <w:r w:rsidRPr="00BB4D3A">
        <w:t xml:space="preserve"> relative to CRMC are shown in Fig. 3.</w:t>
      </w:r>
      <w:r w:rsidR="00F77701" w:rsidRPr="00BB4D3A">
        <w:t xml:space="preserve"> </w:t>
      </w:r>
      <w:r w:rsidRPr="00BB4D3A">
        <w:t xml:space="preserve">The </w:t>
      </w:r>
      <w:r w:rsidRPr="00BB4D3A">
        <w:rPr>
          <w:rFonts w:ascii="Cambria Math" w:hAnsi="Cambria Math" w:cs="Cambria Math"/>
        </w:rPr>
        <w:t>𝑁𝑢</w:t>
      </w:r>
      <w:r w:rsidRPr="00BB4D3A">
        <w:rPr>
          <w:rFonts w:ascii="Cambria Math" w:hAnsi="Cambria Math" w:cs="Cambria Math"/>
          <w:vertAlign w:val="subscript"/>
        </w:rPr>
        <w:t>𝑎𝑣𝑔</w:t>
      </w:r>
      <w:r w:rsidRPr="00BB4D3A">
        <w:t xml:space="preserve"> for all cases are calculated by using Eq. (7). All the tapered cases have </w:t>
      </w:r>
      <w:r w:rsidRPr="00BB4D3A">
        <w:rPr>
          <w:rFonts w:ascii="Cambria Math" w:hAnsi="Cambria Math" w:cs="Cambria Math"/>
        </w:rPr>
        <w:t>𝑁𝑢</w:t>
      </w:r>
      <w:r w:rsidRPr="00BB4D3A">
        <w:rPr>
          <w:rFonts w:ascii="Cambria Math" w:hAnsi="Cambria Math" w:cs="Cambria Math"/>
          <w:vertAlign w:val="subscript"/>
        </w:rPr>
        <w:t>𝑎𝑣𝑔</w:t>
      </w:r>
      <w:r w:rsidRPr="00BB4D3A">
        <w:t>/</w:t>
      </w:r>
      <w:r w:rsidRPr="00BB4D3A">
        <w:rPr>
          <w:rFonts w:ascii="Cambria Math" w:hAnsi="Cambria Math" w:cs="Cambria Math"/>
        </w:rPr>
        <w:t>𝑁𝑢</w:t>
      </w:r>
      <w:r w:rsidRPr="00BB4D3A">
        <w:rPr>
          <w:rFonts w:ascii="Cambria Math" w:hAnsi="Cambria Math" w:cs="Cambria Math"/>
          <w:vertAlign w:val="subscript"/>
        </w:rPr>
        <w:t>𝑎𝑣𝑔</w:t>
      </w:r>
      <w:r w:rsidRPr="00BB4D3A">
        <w:rPr>
          <w:vertAlign w:val="subscript"/>
        </w:rPr>
        <w:t>,</w:t>
      </w:r>
      <w:r w:rsidRPr="00BB4D3A">
        <w:rPr>
          <w:rFonts w:ascii="Cambria Math" w:hAnsi="Cambria Math" w:cs="Cambria Math"/>
          <w:vertAlign w:val="subscript"/>
        </w:rPr>
        <w:t>𝑀𝐶</w:t>
      </w:r>
      <w:r w:rsidR="00F77701" w:rsidRPr="00BB4D3A">
        <w:rPr>
          <w:vertAlign w:val="subscript"/>
        </w:rPr>
        <w:t xml:space="preserve"> </w:t>
      </w:r>
      <w:r w:rsidRPr="00BB4D3A">
        <w:t>&gt;</w:t>
      </w:r>
      <w:r w:rsidR="00F77701" w:rsidRPr="00BB4D3A">
        <w:t xml:space="preserve"> </w:t>
      </w:r>
      <w:r w:rsidRPr="00BB4D3A">
        <w:t>1.</w:t>
      </w:r>
      <w:r w:rsidR="00F77701" w:rsidRPr="00BB4D3A">
        <w:t xml:space="preserve"> </w:t>
      </w:r>
      <w:r w:rsidRPr="00BB4D3A">
        <w:t xml:space="preserve">This shows better thermal performance compared to CRMC. The performance increases on increasing </w:t>
      </w:r>
      <w:r w:rsidRPr="00BB4D3A">
        <w:rPr>
          <w:rFonts w:ascii="Cambria Math" w:hAnsi="Cambria Math" w:cs="Cambria Math"/>
        </w:rPr>
        <w:t>𝑅𝑒</w:t>
      </w:r>
      <w:r w:rsidR="00F77701" w:rsidRPr="00BB4D3A">
        <w:t xml:space="preserve"> </w:t>
      </w:r>
      <w:r w:rsidRPr="00BB4D3A">
        <w:t>for all the cases. The maximum thermal performance enhancement of 30% is found for Case-6, which is</w:t>
      </w:r>
      <w:r w:rsidR="00F77701" w:rsidRPr="00BB4D3A">
        <w:t xml:space="preserve"> </w:t>
      </w:r>
      <w:r w:rsidRPr="00BB4D3A">
        <w:t xml:space="preserve">highest both tapered case, at </w:t>
      </w:r>
      <w:r w:rsidRPr="00BB4D3A">
        <w:rPr>
          <w:rFonts w:ascii="Cambria Math" w:hAnsi="Cambria Math" w:cs="Cambria Math"/>
        </w:rPr>
        <w:t>𝑅𝑒</w:t>
      </w:r>
      <w:r w:rsidRPr="00BB4D3A">
        <w:t>=300 compared to CRMC.</w:t>
      </w:r>
    </w:p>
    <w:p w14:paraId="19D2C291" w14:textId="3C7AEF3E" w:rsidR="007E6BDA" w:rsidRPr="00BB4D3A" w:rsidRDefault="007E6BDA" w:rsidP="005E4145">
      <w:pPr>
        <w:spacing w:line="300" w:lineRule="atLeast"/>
        <w:jc w:val="center"/>
      </w:pPr>
      <w:r w:rsidRPr="00BB4D3A">
        <w:rPr>
          <w:noProof/>
          <w:lang w:val="en-IN" w:eastAsia="en-IN"/>
          <w14:ligatures w14:val="standardContextual"/>
        </w:rPr>
        <w:drawing>
          <wp:inline distT="0" distB="0" distL="0" distR="0" wp14:anchorId="5338EAD9" wp14:editId="5F665AD9">
            <wp:extent cx="2550199" cy="1543050"/>
            <wp:effectExtent l="0" t="0" r="2540" b="0"/>
            <wp:docPr id="1776835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835376" name=""/>
                    <pic:cNvPicPr/>
                  </pic:nvPicPr>
                  <pic:blipFill>
                    <a:blip r:embed="rId14"/>
                    <a:stretch>
                      <a:fillRect/>
                    </a:stretch>
                  </pic:blipFill>
                  <pic:spPr>
                    <a:xfrm>
                      <a:off x="0" y="0"/>
                      <a:ext cx="2573038" cy="1556869"/>
                    </a:xfrm>
                    <a:prstGeom prst="rect">
                      <a:avLst/>
                    </a:prstGeom>
                  </pic:spPr>
                </pic:pic>
              </a:graphicData>
            </a:graphic>
          </wp:inline>
        </w:drawing>
      </w:r>
    </w:p>
    <w:p w14:paraId="00C9CFA7" w14:textId="7EAE7CB6" w:rsidR="007E6BDA" w:rsidRPr="00BB4D3A" w:rsidRDefault="007E6BDA" w:rsidP="005E4145">
      <w:pPr>
        <w:spacing w:line="300" w:lineRule="atLeast"/>
        <w:jc w:val="center"/>
      </w:pPr>
      <w:r w:rsidRPr="00BB4D3A">
        <w:t xml:space="preserve">Figure 3: Thermal performance of tapered </w:t>
      </w:r>
      <w:proofErr w:type="spellStart"/>
      <w:r w:rsidRPr="00BB4D3A">
        <w:t>microchannels</w:t>
      </w:r>
      <w:proofErr w:type="spellEnd"/>
      <w:r w:rsidRPr="00BB4D3A">
        <w:t>.</w:t>
      </w:r>
    </w:p>
    <w:p w14:paraId="40A6DA28" w14:textId="019F59AF" w:rsidR="007E6BDA" w:rsidRPr="00BB4D3A" w:rsidRDefault="007E6BDA" w:rsidP="005E4145">
      <w:pPr>
        <w:spacing w:before="240" w:line="300" w:lineRule="atLeast"/>
        <w:ind w:firstLine="284"/>
        <w:jc w:val="both"/>
      </w:pPr>
      <w:r w:rsidRPr="00BB4D3A">
        <w:t>The hydraulic performances of all cases in terms of relative Δ</w:t>
      </w:r>
      <w:r w:rsidRPr="00BB4D3A">
        <w:rPr>
          <w:rFonts w:ascii="Cambria Math" w:hAnsi="Cambria Math" w:cs="Cambria Math"/>
        </w:rPr>
        <w:t>𝑃</w:t>
      </w:r>
      <w:r w:rsidRPr="00BB4D3A">
        <w:t xml:space="preserve"> between inlet and outlet faces of </w:t>
      </w:r>
      <w:proofErr w:type="spellStart"/>
      <w:r w:rsidRPr="00BB4D3A">
        <w:t>microchannels</w:t>
      </w:r>
      <w:proofErr w:type="spellEnd"/>
      <w:r w:rsidRPr="00BB4D3A">
        <w:t xml:space="preserve"> are shown in Fig. 4. The Δ</w:t>
      </w:r>
      <w:r w:rsidRPr="00BB4D3A">
        <w:rPr>
          <w:rFonts w:ascii="Cambria Math" w:hAnsi="Cambria Math" w:cs="Cambria Math"/>
        </w:rPr>
        <w:t>𝑃</w:t>
      </w:r>
      <w:r w:rsidRPr="00BB4D3A">
        <w:t xml:space="preserve"> for all cases are calculated by using Eq. (8). All the cases show higher relative Δ</w:t>
      </w:r>
      <w:r w:rsidRPr="00BB4D3A">
        <w:rPr>
          <w:rFonts w:ascii="Cambria Math" w:hAnsi="Cambria Math" w:cs="Cambria Math"/>
        </w:rPr>
        <w:t>𝑃</w:t>
      </w:r>
      <w:r w:rsidRPr="00BB4D3A">
        <w:t xml:space="preserve"> than CRMC at all </w:t>
      </w:r>
      <w:r w:rsidRPr="00BB4D3A">
        <w:rPr>
          <w:rFonts w:ascii="Cambria Math" w:hAnsi="Cambria Math" w:cs="Cambria Math"/>
        </w:rPr>
        <w:t>𝑅𝑒</w:t>
      </w:r>
      <w:r w:rsidRPr="00BB4D3A">
        <w:t>. This shows poor hydraulic performance compared to CRMC. Among all the tapered cases, Case-1 and Case-3 which are lowest width and height tapered cases respectively, show equal and least relative Δ</w:t>
      </w:r>
      <w:r w:rsidRPr="00BB4D3A">
        <w:rPr>
          <w:rFonts w:ascii="Cambria Math" w:hAnsi="Cambria Math" w:cs="Cambria Math"/>
        </w:rPr>
        <w:t>𝑃</w:t>
      </w:r>
      <w:r w:rsidRPr="00BB4D3A">
        <w:t>.</w:t>
      </w:r>
    </w:p>
    <w:p w14:paraId="7B18C559" w14:textId="0E3C5906" w:rsidR="000F626B" w:rsidRPr="00BB4D3A" w:rsidRDefault="000F626B" w:rsidP="005E4145">
      <w:pPr>
        <w:spacing w:before="240" w:line="300" w:lineRule="atLeast"/>
        <w:jc w:val="center"/>
      </w:pPr>
      <w:r w:rsidRPr="00BB4D3A">
        <w:rPr>
          <w:noProof/>
          <w:lang w:val="en-IN" w:eastAsia="en-IN"/>
          <w14:ligatures w14:val="standardContextual"/>
        </w:rPr>
        <w:lastRenderedPageBreak/>
        <w:drawing>
          <wp:inline distT="0" distB="0" distL="0" distR="0" wp14:anchorId="3C30056F" wp14:editId="1AFDC1FB">
            <wp:extent cx="2406806" cy="1494155"/>
            <wp:effectExtent l="0" t="0" r="0" b="0"/>
            <wp:docPr id="764129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129210" name=""/>
                    <pic:cNvPicPr/>
                  </pic:nvPicPr>
                  <pic:blipFill>
                    <a:blip r:embed="rId15"/>
                    <a:stretch>
                      <a:fillRect/>
                    </a:stretch>
                  </pic:blipFill>
                  <pic:spPr>
                    <a:xfrm>
                      <a:off x="0" y="0"/>
                      <a:ext cx="2416883" cy="1500411"/>
                    </a:xfrm>
                    <a:prstGeom prst="rect">
                      <a:avLst/>
                    </a:prstGeom>
                  </pic:spPr>
                </pic:pic>
              </a:graphicData>
            </a:graphic>
          </wp:inline>
        </w:drawing>
      </w:r>
    </w:p>
    <w:p w14:paraId="328B9163" w14:textId="6BCE455A" w:rsidR="000F626B" w:rsidRPr="00BB4D3A" w:rsidRDefault="000F626B" w:rsidP="005E4145">
      <w:pPr>
        <w:spacing w:before="240" w:line="300" w:lineRule="atLeast"/>
        <w:jc w:val="center"/>
      </w:pPr>
      <w:r w:rsidRPr="00BB4D3A">
        <w:t xml:space="preserve">Figure 4: Hydraulic performance of tapered </w:t>
      </w:r>
      <w:proofErr w:type="spellStart"/>
      <w:r w:rsidRPr="00BB4D3A">
        <w:t>microchannels</w:t>
      </w:r>
      <w:proofErr w:type="spellEnd"/>
      <w:r w:rsidRPr="00BB4D3A">
        <w:t>.</w:t>
      </w:r>
    </w:p>
    <w:p w14:paraId="5D8B0469" w14:textId="77777777" w:rsidR="00052168" w:rsidRPr="00BB4D3A" w:rsidRDefault="00052168" w:rsidP="005E4145">
      <w:pPr>
        <w:spacing w:before="240" w:line="300" w:lineRule="atLeast"/>
        <w:jc w:val="center"/>
      </w:pPr>
    </w:p>
    <w:p w14:paraId="7952F10E" w14:textId="66AE5A36" w:rsidR="00046D50" w:rsidRPr="00BB4D3A" w:rsidRDefault="00046D50" w:rsidP="005E4145">
      <w:pPr>
        <w:spacing w:before="240" w:line="300" w:lineRule="atLeast"/>
        <w:ind w:firstLine="284"/>
        <w:jc w:val="both"/>
      </w:pPr>
      <w:r w:rsidRPr="00BB4D3A">
        <w:t xml:space="preserve">Fig. 5 shows the temperature contours of CRMC and Case-6 at </w:t>
      </w:r>
      <w:r w:rsidRPr="00BB4D3A">
        <w:rPr>
          <w:rFonts w:ascii="Cambria Math" w:hAnsi="Cambria Math" w:cs="Cambria Math"/>
        </w:rPr>
        <w:t>𝑅𝑒</w:t>
      </w:r>
      <w:r w:rsidRPr="00BB4D3A">
        <w:t xml:space="preserve">=300. It clearly shows the improvement in thermal performance along the flow for Case-6 compared to CRMC. The maximum temperature of </w:t>
      </w:r>
      <w:proofErr w:type="spellStart"/>
      <w:r w:rsidRPr="00BB4D3A">
        <w:t>microchannel</w:t>
      </w:r>
      <w:proofErr w:type="spellEnd"/>
      <w:r w:rsidRPr="00BB4D3A">
        <w:t xml:space="preserve"> substrate for CRMC is 346 K and for Case-6 is 340 K. The improvement in thermal performance for Case-6 is due to increasing velocity of fluid along the flow. This is because the </w:t>
      </w:r>
      <w:proofErr w:type="spellStart"/>
      <w:r w:rsidRPr="00BB4D3A">
        <w:t>microchannel’s</w:t>
      </w:r>
      <w:proofErr w:type="spellEnd"/>
      <w:r w:rsidRPr="00BB4D3A">
        <w:t xml:space="preserve"> cross-sectional area keeps decreasing due to the highest both tapering effect along the flow. </w:t>
      </w:r>
    </w:p>
    <w:p w14:paraId="1C948D90" w14:textId="5C29BF76" w:rsidR="00627BFC" w:rsidRPr="00BB4D3A" w:rsidRDefault="00627BFC" w:rsidP="005E4145">
      <w:pPr>
        <w:spacing w:before="240" w:line="300" w:lineRule="atLeast"/>
        <w:jc w:val="center"/>
      </w:pPr>
      <w:r w:rsidRPr="00BB4D3A">
        <w:rPr>
          <w:noProof/>
          <w:lang w:val="en-IN" w:eastAsia="en-IN"/>
          <w14:ligatures w14:val="standardContextual"/>
        </w:rPr>
        <w:drawing>
          <wp:inline distT="0" distB="0" distL="0" distR="0" wp14:anchorId="48A2EA95" wp14:editId="131E847C">
            <wp:extent cx="2552700" cy="2071689"/>
            <wp:effectExtent l="0" t="0" r="0" b="5080"/>
            <wp:docPr id="167128962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289620" name="Picture 167128962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74381" cy="2089285"/>
                    </a:xfrm>
                    <a:prstGeom prst="rect">
                      <a:avLst/>
                    </a:prstGeom>
                  </pic:spPr>
                </pic:pic>
              </a:graphicData>
            </a:graphic>
          </wp:inline>
        </w:drawing>
      </w:r>
    </w:p>
    <w:p w14:paraId="793AE85D" w14:textId="4EB57F4B" w:rsidR="00627BFC" w:rsidRPr="00BB4D3A" w:rsidRDefault="00627BFC" w:rsidP="005E4145">
      <w:pPr>
        <w:spacing w:before="240" w:line="300" w:lineRule="atLeast"/>
        <w:jc w:val="center"/>
      </w:pPr>
      <w:r w:rsidRPr="00BB4D3A">
        <w:t xml:space="preserve">Figure 5: Temperature contours of (a) CRMC and (b) Case-6 at </w:t>
      </w:r>
      <w:r w:rsidRPr="00BB4D3A">
        <w:rPr>
          <w:rFonts w:ascii="Cambria Math" w:hAnsi="Cambria Math" w:cs="Cambria Math"/>
        </w:rPr>
        <w:t>𝑅𝑒</w:t>
      </w:r>
      <w:r w:rsidRPr="00BB4D3A">
        <w:t>=300.</w:t>
      </w:r>
    </w:p>
    <w:p w14:paraId="38C7068E" w14:textId="77777777" w:rsidR="005E4145" w:rsidRPr="00BB4D3A" w:rsidRDefault="005E4145" w:rsidP="005E4145">
      <w:pPr>
        <w:spacing w:before="240" w:line="300" w:lineRule="atLeast"/>
        <w:ind w:firstLine="284"/>
        <w:jc w:val="both"/>
      </w:pPr>
      <w:r w:rsidRPr="00BB4D3A">
        <w:t>Maximum velocity of fluid for CRMC and Case-6 are 1.2 and 3 m/s, respectively as shown in Fig. 6.</w:t>
      </w:r>
    </w:p>
    <w:p w14:paraId="10FFE0DE" w14:textId="3070E310" w:rsidR="00627BFC" w:rsidRPr="00BB4D3A" w:rsidRDefault="00627BFC" w:rsidP="005E4145">
      <w:pPr>
        <w:spacing w:before="240" w:line="300" w:lineRule="atLeast"/>
        <w:jc w:val="center"/>
      </w:pPr>
      <w:r w:rsidRPr="00BB4D3A">
        <w:rPr>
          <w:noProof/>
          <w:lang w:val="en-IN" w:eastAsia="en-IN"/>
          <w14:ligatures w14:val="standardContextual"/>
        </w:rPr>
        <w:lastRenderedPageBreak/>
        <w:drawing>
          <wp:inline distT="0" distB="0" distL="0" distR="0" wp14:anchorId="75C3B094" wp14:editId="7524780D">
            <wp:extent cx="2628900" cy="968331"/>
            <wp:effectExtent l="0" t="0" r="0" b="3810"/>
            <wp:docPr id="1165756803"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756803" name="Picture 116575680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28749" cy="1005109"/>
                    </a:xfrm>
                    <a:prstGeom prst="rect">
                      <a:avLst/>
                    </a:prstGeom>
                  </pic:spPr>
                </pic:pic>
              </a:graphicData>
            </a:graphic>
          </wp:inline>
        </w:drawing>
      </w:r>
    </w:p>
    <w:p w14:paraId="05B583CB" w14:textId="29346233" w:rsidR="00627BFC" w:rsidRPr="00BB4D3A" w:rsidRDefault="00627BFC" w:rsidP="005E4145">
      <w:pPr>
        <w:spacing w:before="240" w:line="300" w:lineRule="atLeast"/>
        <w:jc w:val="center"/>
      </w:pPr>
      <w:r w:rsidRPr="00BB4D3A">
        <w:t xml:space="preserve">Figure 6: Velocity contours of (a) CRMC and (c) Case-6 at </w:t>
      </w:r>
      <w:r w:rsidRPr="00BB4D3A">
        <w:rPr>
          <w:rFonts w:ascii="Cambria Math" w:hAnsi="Cambria Math" w:cs="Cambria Math"/>
        </w:rPr>
        <w:t>𝑅𝑒</w:t>
      </w:r>
      <w:r w:rsidRPr="00BB4D3A">
        <w:t>=300.</w:t>
      </w:r>
    </w:p>
    <w:p w14:paraId="5324E03F" w14:textId="77777777" w:rsidR="00220A5F" w:rsidRPr="00BB4D3A" w:rsidRDefault="00220A5F" w:rsidP="005E4145">
      <w:pPr>
        <w:spacing w:before="240" w:line="300" w:lineRule="atLeast"/>
        <w:jc w:val="center"/>
      </w:pPr>
    </w:p>
    <w:p w14:paraId="0AEBB930" w14:textId="567F7915" w:rsidR="00220A5F" w:rsidRPr="00BB4D3A" w:rsidRDefault="00220A5F" w:rsidP="005E4145">
      <w:pPr>
        <w:pStyle w:val="Els-1storder-head"/>
        <w:spacing w:before="0" w:after="120" w:line="300" w:lineRule="atLeast"/>
        <w:rPr>
          <w:lang w:val="en-IN"/>
        </w:rPr>
      </w:pPr>
      <w:r w:rsidRPr="00BB4D3A">
        <w:rPr>
          <w:lang w:val="en-IN"/>
        </w:rPr>
        <w:t>Conclusions</w:t>
      </w:r>
    </w:p>
    <w:p w14:paraId="631BB552" w14:textId="1F584F07" w:rsidR="00C1797C" w:rsidRPr="00BB4D3A" w:rsidRDefault="00220A5F" w:rsidP="005E4145">
      <w:pPr>
        <w:spacing w:line="300" w:lineRule="atLeast"/>
        <w:ind w:firstLine="284"/>
        <w:jc w:val="both"/>
        <w:rPr>
          <w:lang w:val="en-US"/>
        </w:rPr>
      </w:pPr>
      <w:r w:rsidRPr="00BB4D3A">
        <w:rPr>
          <w:lang w:val="en-US"/>
        </w:rPr>
        <w:t xml:space="preserve">This work numerically investigates the effects of width, height and both simultaneously tapered </w:t>
      </w:r>
      <w:proofErr w:type="spellStart"/>
      <w:r w:rsidRPr="00BB4D3A">
        <w:rPr>
          <w:lang w:val="en-US"/>
        </w:rPr>
        <w:t>microchannels</w:t>
      </w:r>
      <w:proofErr w:type="spellEnd"/>
      <w:r w:rsidRPr="00BB4D3A">
        <w:rPr>
          <w:lang w:val="en-US"/>
        </w:rPr>
        <w:t xml:space="preserve"> for thermo-hydraulic performance enhancement in MCHS. The performances of six different cases of tapered </w:t>
      </w:r>
      <w:proofErr w:type="spellStart"/>
      <w:r w:rsidRPr="00BB4D3A">
        <w:rPr>
          <w:lang w:val="en-US"/>
        </w:rPr>
        <w:t>microchannel</w:t>
      </w:r>
      <w:proofErr w:type="spellEnd"/>
      <w:r w:rsidRPr="00BB4D3A">
        <w:rPr>
          <w:lang w:val="en-US"/>
        </w:rPr>
        <w:t xml:space="preserve"> geometries are compared with CRMC, using FLUENT tool of ANSYS 2022R1</w:t>
      </w:r>
      <w:r w:rsidRPr="00BB4D3A">
        <w:rPr>
          <w:vertAlign w:val="superscript"/>
          <w:lang w:val="en-US"/>
        </w:rPr>
        <w:t>®</w:t>
      </w:r>
      <w:r w:rsidRPr="00BB4D3A">
        <w:rPr>
          <w:lang w:val="en-US"/>
        </w:rPr>
        <w:t xml:space="preserve"> CFD software. The effects of tapering are </w:t>
      </w:r>
      <w:proofErr w:type="spellStart"/>
      <w:r w:rsidRPr="00BB4D3A">
        <w:rPr>
          <w:lang w:val="en-US"/>
        </w:rPr>
        <w:t>analysed</w:t>
      </w:r>
      <w:proofErr w:type="spellEnd"/>
      <w:r w:rsidRPr="00BB4D3A">
        <w:rPr>
          <w:lang w:val="en-US"/>
        </w:rPr>
        <w:t xml:space="preserve"> for </w:t>
      </w:r>
      <w:r w:rsidRPr="00BB4D3A">
        <w:rPr>
          <w:rFonts w:ascii="Cambria Math" w:hAnsi="Cambria Math" w:cs="Cambria Math"/>
          <w:lang w:val="en-US"/>
        </w:rPr>
        <w:t>𝑅𝑒</w:t>
      </w:r>
      <w:r w:rsidRPr="00BB4D3A">
        <w:rPr>
          <w:lang w:val="en-US"/>
        </w:rPr>
        <w:t xml:space="preserve"> from 100 to 300. In this investigation, the materials are water as coolant and copper as substrate. Only single-phase flow of coolant is considered. The performed work can lead to the following conclusions</w:t>
      </w:r>
      <w:r w:rsidR="00575985" w:rsidRPr="00BB4D3A">
        <w:rPr>
          <w:lang w:val="en-US"/>
        </w:rPr>
        <w:t xml:space="preserve"> </w:t>
      </w:r>
      <w:r w:rsidRPr="00BB4D3A">
        <w:rPr>
          <w:lang w:val="en-US"/>
        </w:rPr>
        <w:t>:</w:t>
      </w:r>
      <w:r w:rsidR="00575985" w:rsidRPr="00BB4D3A">
        <w:rPr>
          <w:lang w:val="en-US"/>
        </w:rPr>
        <w:t>-</w:t>
      </w:r>
    </w:p>
    <w:p w14:paraId="33D22168" w14:textId="77777777" w:rsidR="00575985" w:rsidRPr="00BB4D3A" w:rsidRDefault="00575985" w:rsidP="005E4145">
      <w:pPr>
        <w:spacing w:line="300" w:lineRule="atLeast"/>
        <w:ind w:firstLine="284"/>
        <w:jc w:val="both"/>
        <w:rPr>
          <w:lang w:val="en-US"/>
        </w:rPr>
      </w:pPr>
    </w:p>
    <w:p w14:paraId="6D7E461C" w14:textId="77777777" w:rsidR="00220A5F" w:rsidRPr="00BB4D3A" w:rsidRDefault="00220A5F" w:rsidP="005E4145">
      <w:pPr>
        <w:pStyle w:val="ListParagraph"/>
        <w:numPr>
          <w:ilvl w:val="0"/>
          <w:numId w:val="16"/>
        </w:numPr>
        <w:spacing w:line="300" w:lineRule="atLeast"/>
        <w:jc w:val="both"/>
        <w:rPr>
          <w:lang w:val="en-US"/>
        </w:rPr>
      </w:pPr>
      <w:r w:rsidRPr="00BB4D3A">
        <w:rPr>
          <w:lang w:val="en-US"/>
        </w:rPr>
        <w:t xml:space="preserve">All the tapered cases have </w:t>
      </w:r>
      <w:r w:rsidRPr="00BB4D3A">
        <w:rPr>
          <w:rFonts w:ascii="Cambria Math" w:hAnsi="Cambria Math" w:cs="Cambria Math"/>
          <w:lang w:val="en-US"/>
        </w:rPr>
        <w:t>𝑁𝑢</w:t>
      </w:r>
      <w:r w:rsidRPr="00BB4D3A">
        <w:rPr>
          <w:rFonts w:ascii="Cambria Math" w:hAnsi="Cambria Math" w:cs="Cambria Math"/>
          <w:vertAlign w:val="subscript"/>
          <w:lang w:val="en-US"/>
        </w:rPr>
        <w:t>𝑎𝑣𝑔</w:t>
      </w:r>
      <w:r w:rsidRPr="00BB4D3A">
        <w:rPr>
          <w:lang w:val="en-US"/>
        </w:rPr>
        <w:t>/</w:t>
      </w:r>
      <w:r w:rsidRPr="00BB4D3A">
        <w:rPr>
          <w:rFonts w:ascii="Cambria Math" w:hAnsi="Cambria Math" w:cs="Cambria Math"/>
          <w:lang w:val="en-US"/>
        </w:rPr>
        <w:t>𝑁𝑢</w:t>
      </w:r>
      <w:r w:rsidRPr="00BB4D3A">
        <w:rPr>
          <w:rFonts w:ascii="Cambria Math" w:hAnsi="Cambria Math" w:cs="Cambria Math"/>
          <w:vertAlign w:val="subscript"/>
          <w:lang w:val="en-US"/>
        </w:rPr>
        <w:t>𝑎𝑣𝑔</w:t>
      </w:r>
      <w:r w:rsidRPr="00BB4D3A">
        <w:rPr>
          <w:vertAlign w:val="subscript"/>
          <w:lang w:val="en-US"/>
        </w:rPr>
        <w:t>,</w:t>
      </w:r>
      <w:r w:rsidRPr="00BB4D3A">
        <w:rPr>
          <w:rFonts w:ascii="Cambria Math" w:hAnsi="Cambria Math" w:cs="Cambria Math"/>
          <w:vertAlign w:val="subscript"/>
          <w:lang w:val="en-US"/>
        </w:rPr>
        <w:t>𝑀𝐶</w:t>
      </w:r>
      <w:r w:rsidRPr="00BB4D3A">
        <w:rPr>
          <w:vertAlign w:val="subscript"/>
          <w:lang w:val="en-US"/>
        </w:rPr>
        <w:t xml:space="preserve"> </w:t>
      </w:r>
      <w:r w:rsidRPr="00BB4D3A">
        <w:rPr>
          <w:lang w:val="en-US"/>
        </w:rPr>
        <w:t xml:space="preserve">&gt; 1, which shows better thermal performance compared to CRMC. </w:t>
      </w:r>
    </w:p>
    <w:p w14:paraId="11B4B369" w14:textId="77777777" w:rsidR="00220A5F" w:rsidRPr="00BB4D3A" w:rsidRDefault="00220A5F" w:rsidP="005E4145">
      <w:pPr>
        <w:pStyle w:val="ListParagraph"/>
        <w:numPr>
          <w:ilvl w:val="0"/>
          <w:numId w:val="16"/>
        </w:numPr>
        <w:spacing w:line="300" w:lineRule="atLeast"/>
        <w:jc w:val="both"/>
        <w:rPr>
          <w:lang w:val="en-US"/>
        </w:rPr>
      </w:pPr>
      <w:r w:rsidRPr="00BB4D3A">
        <w:rPr>
          <w:lang w:val="en-US"/>
        </w:rPr>
        <w:t xml:space="preserve">The maximum thermal performance enhancement of 30% is found for Case-6, which is highest both tapered case, at </w:t>
      </w:r>
      <w:r w:rsidRPr="00BB4D3A">
        <w:rPr>
          <w:rFonts w:ascii="Cambria Math" w:hAnsi="Cambria Math" w:cs="Cambria Math"/>
          <w:lang w:val="en-US"/>
        </w:rPr>
        <w:t>𝑅𝑒</w:t>
      </w:r>
      <w:r w:rsidRPr="00BB4D3A">
        <w:rPr>
          <w:lang w:val="en-US"/>
        </w:rPr>
        <w:t xml:space="preserve">=300 compared to CRMC. </w:t>
      </w:r>
    </w:p>
    <w:p w14:paraId="4131BC94" w14:textId="77777777" w:rsidR="00220A5F" w:rsidRPr="00BB4D3A" w:rsidRDefault="00220A5F" w:rsidP="005E4145">
      <w:pPr>
        <w:pStyle w:val="ListParagraph"/>
        <w:numPr>
          <w:ilvl w:val="0"/>
          <w:numId w:val="16"/>
        </w:numPr>
        <w:spacing w:line="300" w:lineRule="atLeast"/>
        <w:jc w:val="both"/>
        <w:rPr>
          <w:lang w:val="en-US"/>
        </w:rPr>
      </w:pPr>
      <w:r w:rsidRPr="00BB4D3A">
        <w:rPr>
          <w:lang w:val="en-US"/>
        </w:rPr>
        <w:t>All the cases show higher relative Δ</w:t>
      </w:r>
      <w:r w:rsidRPr="00BB4D3A">
        <w:rPr>
          <w:rFonts w:ascii="Cambria Math" w:hAnsi="Cambria Math" w:cs="Cambria Math"/>
          <w:lang w:val="en-US"/>
        </w:rPr>
        <w:t>𝑃</w:t>
      </w:r>
      <w:r w:rsidRPr="00BB4D3A">
        <w:rPr>
          <w:lang w:val="en-US"/>
        </w:rPr>
        <w:t xml:space="preserve"> than CRMC at all </w:t>
      </w:r>
      <w:r w:rsidRPr="00BB4D3A">
        <w:rPr>
          <w:rFonts w:ascii="Cambria Math" w:hAnsi="Cambria Math" w:cs="Cambria Math"/>
          <w:lang w:val="en-US"/>
        </w:rPr>
        <w:t>𝑅𝑒</w:t>
      </w:r>
      <w:r w:rsidRPr="00BB4D3A">
        <w:rPr>
          <w:lang w:val="en-US"/>
        </w:rPr>
        <w:t xml:space="preserve">, which shows poor hydraulic performance compared to CRMC. </w:t>
      </w:r>
    </w:p>
    <w:p w14:paraId="17D067D7" w14:textId="77777777" w:rsidR="00220A5F" w:rsidRPr="00BB4D3A" w:rsidRDefault="00220A5F" w:rsidP="005E4145">
      <w:pPr>
        <w:pStyle w:val="ListParagraph"/>
        <w:numPr>
          <w:ilvl w:val="0"/>
          <w:numId w:val="16"/>
        </w:numPr>
        <w:spacing w:line="300" w:lineRule="atLeast"/>
        <w:jc w:val="both"/>
        <w:rPr>
          <w:lang w:val="en-US"/>
        </w:rPr>
      </w:pPr>
      <w:r w:rsidRPr="00BB4D3A">
        <w:rPr>
          <w:lang w:val="en-US"/>
        </w:rPr>
        <w:t>Among all the tapered cases, Case-1 and Case-3 which are lowest width and height tapered cases respectively, show equal and least relative Δ</w:t>
      </w:r>
      <w:r w:rsidRPr="00BB4D3A">
        <w:rPr>
          <w:rFonts w:ascii="Cambria Math" w:hAnsi="Cambria Math" w:cs="Cambria Math"/>
          <w:lang w:val="en-US"/>
        </w:rPr>
        <w:t>𝑃</w:t>
      </w:r>
      <w:r w:rsidRPr="00BB4D3A">
        <w:rPr>
          <w:lang w:val="en-US"/>
        </w:rPr>
        <w:t xml:space="preserve">. </w:t>
      </w:r>
    </w:p>
    <w:p w14:paraId="7390A79A" w14:textId="7E5D9355" w:rsidR="00220A5F" w:rsidRPr="00BB4D3A" w:rsidRDefault="00220A5F" w:rsidP="005E4145">
      <w:pPr>
        <w:pStyle w:val="ListParagraph"/>
        <w:numPr>
          <w:ilvl w:val="0"/>
          <w:numId w:val="16"/>
        </w:numPr>
        <w:spacing w:line="300" w:lineRule="atLeast"/>
        <w:jc w:val="both"/>
        <w:rPr>
          <w:lang w:val="en-US"/>
        </w:rPr>
      </w:pPr>
      <w:r w:rsidRPr="00BB4D3A">
        <w:rPr>
          <w:lang w:val="en-US"/>
        </w:rPr>
        <w:t xml:space="preserve">According to this study, only width tapering in </w:t>
      </w:r>
      <w:proofErr w:type="spellStart"/>
      <w:r w:rsidRPr="00BB4D3A">
        <w:rPr>
          <w:lang w:val="en-US"/>
        </w:rPr>
        <w:t>microchannels</w:t>
      </w:r>
      <w:proofErr w:type="spellEnd"/>
      <w:r w:rsidRPr="00BB4D3A">
        <w:rPr>
          <w:lang w:val="en-US"/>
        </w:rPr>
        <w:t xml:space="preserve"> is suggested for thermo-hydraulic performance enhancement in </w:t>
      </w:r>
      <w:proofErr w:type="spellStart"/>
      <w:r w:rsidRPr="00BB4D3A">
        <w:rPr>
          <w:lang w:val="en-US"/>
        </w:rPr>
        <w:t>microchannel</w:t>
      </w:r>
      <w:proofErr w:type="spellEnd"/>
      <w:r w:rsidRPr="00BB4D3A">
        <w:rPr>
          <w:lang w:val="en-US"/>
        </w:rPr>
        <w:t xml:space="preserve"> based heat dissipation devices.</w:t>
      </w:r>
    </w:p>
    <w:p w14:paraId="6BBED015" w14:textId="303A8B1B" w:rsidR="00B26858" w:rsidRPr="00BB4D3A" w:rsidRDefault="00B26858" w:rsidP="005E4145">
      <w:pPr>
        <w:pStyle w:val="Els-acknowledgement"/>
        <w:spacing w:after="120" w:line="300" w:lineRule="atLeast"/>
      </w:pPr>
      <w:r w:rsidRPr="00BB4D3A">
        <w:lastRenderedPageBreak/>
        <w:t>Acknowledgement</w:t>
      </w:r>
    </w:p>
    <w:p w14:paraId="6C47D332" w14:textId="0B5A50E4" w:rsidR="007E14DB" w:rsidRPr="00BB4D3A" w:rsidRDefault="00063555" w:rsidP="005E4145">
      <w:pPr>
        <w:spacing w:line="300" w:lineRule="atLeast"/>
        <w:ind w:firstLine="284"/>
        <w:jc w:val="both"/>
        <w:rPr>
          <w:lang w:val="en-US"/>
        </w:rPr>
      </w:pPr>
      <w:r w:rsidRPr="00BB4D3A">
        <w:rPr>
          <w:lang w:val="en-US"/>
        </w:rPr>
        <w:t>The authors would like to thank Science and Engineering Research Board, Government of India for supporting this work through the grant CRG/2023/005255.</w:t>
      </w:r>
    </w:p>
    <w:p w14:paraId="506E2B2B" w14:textId="0C81065B" w:rsidR="00CD6EB8" w:rsidRPr="00BB4D3A" w:rsidRDefault="00CD6EB8" w:rsidP="005E4145">
      <w:pPr>
        <w:pStyle w:val="Els-1storder-head"/>
        <w:numPr>
          <w:ilvl w:val="0"/>
          <w:numId w:val="0"/>
        </w:numPr>
        <w:spacing w:after="120" w:line="300" w:lineRule="atLeast"/>
        <w:jc w:val="both"/>
        <w:rPr>
          <w:lang w:val="en-IN"/>
        </w:rPr>
      </w:pPr>
      <w:r w:rsidRPr="00BB4D3A">
        <w:rPr>
          <w:lang w:val="en-IN"/>
        </w:rPr>
        <w:t>References</w:t>
      </w:r>
    </w:p>
    <w:p w14:paraId="47E4C574" w14:textId="54E11DD5" w:rsidR="0046044C" w:rsidRPr="00BB4D3A" w:rsidRDefault="0046044C" w:rsidP="005E4145">
      <w:pPr>
        <w:pStyle w:val="Els-body-text"/>
        <w:numPr>
          <w:ilvl w:val="0"/>
          <w:numId w:val="17"/>
        </w:numPr>
        <w:spacing w:before="240" w:after="240" w:line="300" w:lineRule="atLeast"/>
        <w:ind w:left="357" w:hanging="357"/>
        <w:rPr>
          <w:lang w:val="en-IN"/>
        </w:rPr>
      </w:pPr>
      <w:r w:rsidRPr="00BB4D3A">
        <w:rPr>
          <w:lang w:val="en-IN"/>
        </w:rPr>
        <w:t xml:space="preserve">P. </w:t>
      </w:r>
      <w:proofErr w:type="spellStart"/>
      <w:r w:rsidRPr="00BB4D3A">
        <w:rPr>
          <w:lang w:val="en-IN"/>
        </w:rPr>
        <w:t>Zając</w:t>
      </w:r>
      <w:proofErr w:type="spellEnd"/>
      <w:r w:rsidRPr="00BB4D3A">
        <w:rPr>
          <w:lang w:val="en-IN"/>
        </w:rPr>
        <w:t xml:space="preserve"> and A. </w:t>
      </w:r>
      <w:proofErr w:type="spellStart"/>
      <w:r w:rsidRPr="00BB4D3A">
        <w:rPr>
          <w:lang w:val="en-IN"/>
        </w:rPr>
        <w:t>Napieralski</w:t>
      </w:r>
      <w:proofErr w:type="spellEnd"/>
      <w:r w:rsidRPr="00BB4D3A">
        <w:rPr>
          <w:lang w:val="en-IN"/>
        </w:rPr>
        <w:t xml:space="preserve">, “Novel thermal model of </w:t>
      </w:r>
      <w:proofErr w:type="spellStart"/>
      <w:r w:rsidRPr="00BB4D3A">
        <w:rPr>
          <w:lang w:val="en-IN"/>
        </w:rPr>
        <w:t>microchannel</w:t>
      </w:r>
      <w:proofErr w:type="spellEnd"/>
      <w:r w:rsidRPr="00BB4D3A">
        <w:rPr>
          <w:lang w:val="en-IN"/>
        </w:rPr>
        <w:t xml:space="preserve"> cooling system designed for fast simulation of liquid-cooled </w:t>
      </w:r>
      <w:proofErr w:type="spellStart"/>
      <w:r w:rsidRPr="00BB4D3A">
        <w:rPr>
          <w:lang w:val="en-IN"/>
        </w:rPr>
        <w:t>ics</w:t>
      </w:r>
      <w:proofErr w:type="spellEnd"/>
      <w:r w:rsidRPr="00BB4D3A">
        <w:rPr>
          <w:lang w:val="en-IN"/>
        </w:rPr>
        <w:t>,” Microelectronics Reliability, vol. 87, pp. 245–258, 2018.</w:t>
      </w:r>
      <w:r w:rsidR="00CA5074" w:rsidRPr="00BB4D3A">
        <w:rPr>
          <w:lang w:val="en-IN"/>
        </w:rPr>
        <w:t xml:space="preserve"> https://doi.org/10.1016/j.microrel.2018.06.020</w:t>
      </w:r>
    </w:p>
    <w:p w14:paraId="0FFD054E" w14:textId="62630746" w:rsidR="0046044C" w:rsidRPr="00BB4D3A" w:rsidRDefault="0046044C" w:rsidP="005E4145">
      <w:pPr>
        <w:pStyle w:val="Els-body-text"/>
        <w:numPr>
          <w:ilvl w:val="0"/>
          <w:numId w:val="17"/>
        </w:numPr>
        <w:spacing w:before="240" w:after="240" w:line="300" w:lineRule="atLeast"/>
        <w:ind w:left="357" w:hanging="357"/>
        <w:rPr>
          <w:lang w:val="en-IN"/>
        </w:rPr>
      </w:pPr>
      <w:r w:rsidRPr="00BB4D3A">
        <w:rPr>
          <w:lang w:val="en-IN"/>
        </w:rPr>
        <w:t xml:space="preserve">B. </w:t>
      </w:r>
      <w:proofErr w:type="spellStart"/>
      <w:r w:rsidRPr="00BB4D3A">
        <w:rPr>
          <w:lang w:val="en-IN"/>
        </w:rPr>
        <w:t>Agostini</w:t>
      </w:r>
      <w:proofErr w:type="spellEnd"/>
      <w:r w:rsidRPr="00BB4D3A">
        <w:rPr>
          <w:lang w:val="en-IN"/>
        </w:rPr>
        <w:t xml:space="preserve">, M. </w:t>
      </w:r>
      <w:proofErr w:type="spellStart"/>
      <w:r w:rsidRPr="00BB4D3A">
        <w:rPr>
          <w:lang w:val="en-IN"/>
        </w:rPr>
        <w:t>Fabbri</w:t>
      </w:r>
      <w:proofErr w:type="spellEnd"/>
      <w:r w:rsidRPr="00BB4D3A">
        <w:rPr>
          <w:lang w:val="en-IN"/>
        </w:rPr>
        <w:t xml:space="preserve">, J. E. Park, L. </w:t>
      </w:r>
      <w:proofErr w:type="spellStart"/>
      <w:r w:rsidRPr="00BB4D3A">
        <w:rPr>
          <w:lang w:val="en-IN"/>
        </w:rPr>
        <w:t>Wojtan</w:t>
      </w:r>
      <w:proofErr w:type="spellEnd"/>
      <w:r w:rsidRPr="00BB4D3A">
        <w:rPr>
          <w:lang w:val="en-IN"/>
        </w:rPr>
        <w:t xml:space="preserve">, J. R. </w:t>
      </w:r>
      <w:proofErr w:type="spellStart"/>
      <w:r w:rsidRPr="00BB4D3A">
        <w:rPr>
          <w:lang w:val="en-IN"/>
        </w:rPr>
        <w:t>Thome</w:t>
      </w:r>
      <w:proofErr w:type="spellEnd"/>
      <w:r w:rsidRPr="00BB4D3A">
        <w:rPr>
          <w:lang w:val="en-IN"/>
        </w:rPr>
        <w:t>, and B. Michel, “State of the art of high heat flux cooling technologies,” Heat transfer engineering, vol. 28, no. 4, pp. 258–281, 2007.</w:t>
      </w:r>
      <w:r w:rsidR="00CA5074" w:rsidRPr="00BB4D3A">
        <w:rPr>
          <w:lang w:val="en-IN"/>
        </w:rPr>
        <w:t xml:space="preserve"> https://doi.org/10.1080/01457630601117799</w:t>
      </w:r>
    </w:p>
    <w:p w14:paraId="6843441A" w14:textId="2B2A66AB" w:rsidR="0046044C" w:rsidRPr="00BB4D3A" w:rsidRDefault="0046044C" w:rsidP="005E4145">
      <w:pPr>
        <w:pStyle w:val="Els-body-text"/>
        <w:numPr>
          <w:ilvl w:val="0"/>
          <w:numId w:val="17"/>
        </w:numPr>
        <w:spacing w:before="240" w:after="240" w:line="300" w:lineRule="atLeast"/>
        <w:rPr>
          <w:lang w:val="en-IN"/>
        </w:rPr>
      </w:pPr>
      <w:r w:rsidRPr="00BB4D3A">
        <w:rPr>
          <w:lang w:val="en-IN"/>
        </w:rPr>
        <w:t xml:space="preserve">H. </w:t>
      </w:r>
      <w:proofErr w:type="spellStart"/>
      <w:r w:rsidRPr="00BB4D3A">
        <w:rPr>
          <w:lang w:val="en-IN"/>
        </w:rPr>
        <w:t>Abou-Ziyan</w:t>
      </w:r>
      <w:proofErr w:type="spellEnd"/>
      <w:r w:rsidRPr="00BB4D3A">
        <w:rPr>
          <w:lang w:val="en-IN"/>
        </w:rPr>
        <w:t xml:space="preserve">, M. Ibrahim, and H. Abdel-Hameed, “Characteristics enhancement of one-section and two-stepwise </w:t>
      </w:r>
      <w:proofErr w:type="spellStart"/>
      <w:r w:rsidRPr="00BB4D3A">
        <w:rPr>
          <w:lang w:val="en-IN"/>
        </w:rPr>
        <w:t>microchannels</w:t>
      </w:r>
      <w:proofErr w:type="spellEnd"/>
      <w:r w:rsidRPr="00BB4D3A">
        <w:rPr>
          <w:lang w:val="en-IN"/>
        </w:rPr>
        <w:t xml:space="preserve"> for cooling high-concentration multi-junction photovoltaic cells,” Energy Conversion and Management, vol. 206, p. 112488, 2020.</w:t>
      </w:r>
      <w:r w:rsidR="00CA5074" w:rsidRPr="00BB4D3A">
        <w:rPr>
          <w:lang w:val="en-IN"/>
        </w:rPr>
        <w:t xml:space="preserve"> https://doi.org/10.1016/j.enconman.2020.112488</w:t>
      </w:r>
    </w:p>
    <w:p w14:paraId="444F5C9D" w14:textId="50F2AC1F" w:rsidR="0046044C" w:rsidRPr="00BB4D3A" w:rsidRDefault="0046044C" w:rsidP="005E4145">
      <w:pPr>
        <w:pStyle w:val="Els-body-text"/>
        <w:numPr>
          <w:ilvl w:val="0"/>
          <w:numId w:val="17"/>
        </w:numPr>
        <w:spacing w:before="240" w:after="240" w:line="300" w:lineRule="atLeast"/>
        <w:rPr>
          <w:lang w:val="en-IN"/>
        </w:rPr>
      </w:pPr>
      <w:r w:rsidRPr="00BB4D3A">
        <w:rPr>
          <w:lang w:val="en-IN"/>
        </w:rPr>
        <w:t xml:space="preserve">S. Singh, A. Malik, and H. S. Mali, “A critical review on single-phase thermo-hydraulic enhancement in geometrically modified </w:t>
      </w:r>
      <w:proofErr w:type="spellStart"/>
      <w:r w:rsidRPr="00BB4D3A">
        <w:rPr>
          <w:lang w:val="en-IN"/>
        </w:rPr>
        <w:t>microchannel</w:t>
      </w:r>
      <w:proofErr w:type="spellEnd"/>
      <w:r w:rsidRPr="00BB4D3A">
        <w:rPr>
          <w:lang w:val="en-IN"/>
        </w:rPr>
        <w:t xml:space="preserve"> devices,” Applied Thermal Engineering, p. 121729, 2023.</w:t>
      </w:r>
      <w:r w:rsidR="00AD1AAF" w:rsidRPr="00BB4D3A">
        <w:rPr>
          <w:lang w:val="en-IN"/>
        </w:rPr>
        <w:t xml:space="preserve"> https://doi.org/10.1016/j.applthermaleng.2023.121729</w:t>
      </w:r>
    </w:p>
    <w:p w14:paraId="263663AA" w14:textId="36892582" w:rsidR="0046044C" w:rsidRPr="00BB4D3A" w:rsidRDefault="0046044C" w:rsidP="005E4145">
      <w:pPr>
        <w:pStyle w:val="Els-body-text"/>
        <w:numPr>
          <w:ilvl w:val="0"/>
          <w:numId w:val="17"/>
        </w:numPr>
        <w:spacing w:before="240" w:after="240" w:line="300" w:lineRule="atLeast"/>
        <w:rPr>
          <w:lang w:val="en-IN"/>
        </w:rPr>
      </w:pPr>
      <w:r w:rsidRPr="00BB4D3A">
        <w:rPr>
          <w:lang w:val="en-IN"/>
        </w:rPr>
        <w:t xml:space="preserve">H. Mohammed, P. </w:t>
      </w:r>
      <w:proofErr w:type="spellStart"/>
      <w:r w:rsidRPr="00BB4D3A">
        <w:rPr>
          <w:lang w:val="en-IN"/>
        </w:rPr>
        <w:t>Gunnasegaran</w:t>
      </w:r>
      <w:proofErr w:type="spellEnd"/>
      <w:r w:rsidRPr="00BB4D3A">
        <w:rPr>
          <w:lang w:val="en-IN"/>
        </w:rPr>
        <w:t xml:space="preserve">, and N. </w:t>
      </w:r>
      <w:proofErr w:type="spellStart"/>
      <w:r w:rsidRPr="00BB4D3A">
        <w:rPr>
          <w:lang w:val="en-IN"/>
        </w:rPr>
        <w:t>Shuaib</w:t>
      </w:r>
      <w:proofErr w:type="spellEnd"/>
      <w:r w:rsidRPr="00BB4D3A">
        <w:rPr>
          <w:lang w:val="en-IN"/>
        </w:rPr>
        <w:t xml:space="preserve">, “Influence of channel shape on the thermal and hydraulic performance of </w:t>
      </w:r>
      <w:proofErr w:type="spellStart"/>
      <w:r w:rsidRPr="00BB4D3A">
        <w:rPr>
          <w:lang w:val="en-IN"/>
        </w:rPr>
        <w:t>microchannel</w:t>
      </w:r>
      <w:proofErr w:type="spellEnd"/>
      <w:r w:rsidRPr="00BB4D3A">
        <w:rPr>
          <w:lang w:val="en-IN"/>
        </w:rPr>
        <w:t xml:space="preserve"> heat sink,” International Communications in Heat and Mass Transfer, vol. 38, no. 4, pp. 474–480, 2011.</w:t>
      </w:r>
      <w:r w:rsidR="00AD1AAF" w:rsidRPr="00BB4D3A">
        <w:rPr>
          <w:lang w:val="en-IN"/>
        </w:rPr>
        <w:t xml:space="preserve"> https://doi.org/10.1016/j.icheatmasstransfer.2010.12.031</w:t>
      </w:r>
    </w:p>
    <w:p w14:paraId="5BA1A02F" w14:textId="6FCE9C84" w:rsidR="0046044C" w:rsidRPr="00BB4D3A" w:rsidRDefault="0046044C" w:rsidP="005E4145">
      <w:pPr>
        <w:pStyle w:val="Els-body-text"/>
        <w:numPr>
          <w:ilvl w:val="0"/>
          <w:numId w:val="17"/>
        </w:numPr>
        <w:spacing w:before="240" w:after="240" w:line="300" w:lineRule="atLeast"/>
        <w:rPr>
          <w:lang w:val="en-IN"/>
        </w:rPr>
      </w:pPr>
      <w:r w:rsidRPr="00BB4D3A">
        <w:rPr>
          <w:lang w:val="en-IN"/>
        </w:rPr>
        <w:lastRenderedPageBreak/>
        <w:t xml:space="preserve">Q. Zhu, H. Xia, J. Chen, X. Zhang, K. Chang, H. Zhang, H. Wang, J. Wan, and Y. Jin, “Fluid flow and heat transfer characteristics of </w:t>
      </w:r>
      <w:proofErr w:type="spellStart"/>
      <w:r w:rsidRPr="00BB4D3A">
        <w:rPr>
          <w:lang w:val="en-IN"/>
        </w:rPr>
        <w:t>microchannel</w:t>
      </w:r>
      <w:proofErr w:type="spellEnd"/>
      <w:r w:rsidRPr="00BB4D3A">
        <w:rPr>
          <w:lang w:val="en-IN"/>
        </w:rPr>
        <w:t xml:space="preserve"> heat sinks with different groove shapes,” International Journal of Thermal Sciences, vol. 161, p. 106721, 2021.</w:t>
      </w:r>
      <w:r w:rsidR="00BE67D0" w:rsidRPr="00BB4D3A">
        <w:rPr>
          <w:lang w:val="en-IN"/>
        </w:rPr>
        <w:t xml:space="preserve"> https://doi.org/10.1016/j.ijthermalsci.2020.106721</w:t>
      </w:r>
    </w:p>
    <w:p w14:paraId="72F1559D" w14:textId="153F5F55" w:rsidR="00CA5074" w:rsidRPr="00BB4D3A" w:rsidRDefault="00CA5074" w:rsidP="005E4145">
      <w:pPr>
        <w:pStyle w:val="Els-body-text"/>
        <w:numPr>
          <w:ilvl w:val="0"/>
          <w:numId w:val="17"/>
        </w:numPr>
        <w:spacing w:before="240" w:after="240" w:line="300" w:lineRule="atLeast"/>
        <w:rPr>
          <w:lang w:val="en-IN"/>
        </w:rPr>
      </w:pPr>
      <w:r w:rsidRPr="00BB4D3A">
        <w:rPr>
          <w:lang w:val="en-IN"/>
        </w:rPr>
        <w:t>S. Singh, A. Malik, and H. S. Mali, “Thermo-hydraulic performance enhancement in novel secondary connected fractal heat sink with cavities,” International Journal of Thermal Sciences, 214, p.109855, 2025.</w:t>
      </w:r>
      <w:r w:rsidR="00BE67D0" w:rsidRPr="00BB4D3A">
        <w:rPr>
          <w:lang w:val="en-IN"/>
        </w:rPr>
        <w:t xml:space="preserve"> https://doi.org/10.1016/j.ijthermalsci.2025.109855</w:t>
      </w:r>
    </w:p>
    <w:p w14:paraId="6B58F89B" w14:textId="3F2542CA" w:rsidR="0046044C" w:rsidRPr="00BB4D3A" w:rsidRDefault="0046044C" w:rsidP="005E4145">
      <w:pPr>
        <w:pStyle w:val="Els-body-text"/>
        <w:numPr>
          <w:ilvl w:val="0"/>
          <w:numId w:val="17"/>
        </w:numPr>
        <w:spacing w:before="240" w:after="240" w:line="300" w:lineRule="atLeast"/>
        <w:rPr>
          <w:lang w:val="en-IN"/>
        </w:rPr>
      </w:pPr>
      <w:r w:rsidRPr="00BB4D3A">
        <w:rPr>
          <w:lang w:val="en-IN"/>
        </w:rPr>
        <w:t xml:space="preserve">F. Ahmad, T. A. Cheema, A. Khan, M. </w:t>
      </w:r>
      <w:proofErr w:type="spellStart"/>
      <w:r w:rsidRPr="00BB4D3A">
        <w:rPr>
          <w:lang w:val="en-IN"/>
        </w:rPr>
        <w:t>Mohib</w:t>
      </w:r>
      <w:proofErr w:type="spellEnd"/>
      <w:r w:rsidRPr="00BB4D3A">
        <w:rPr>
          <w:lang w:val="en-IN"/>
        </w:rPr>
        <w:t>-Ur-</w:t>
      </w:r>
      <w:proofErr w:type="spellStart"/>
      <w:r w:rsidRPr="00BB4D3A">
        <w:rPr>
          <w:lang w:val="en-IN"/>
        </w:rPr>
        <w:t>Rehman</w:t>
      </w:r>
      <w:proofErr w:type="spellEnd"/>
      <w:r w:rsidRPr="00BB4D3A">
        <w:rPr>
          <w:lang w:val="en-IN"/>
        </w:rPr>
        <w:t xml:space="preserve">, and H. </w:t>
      </w:r>
      <w:proofErr w:type="spellStart"/>
      <w:r w:rsidRPr="00BB4D3A">
        <w:rPr>
          <w:lang w:val="en-IN"/>
        </w:rPr>
        <w:t>Yildizhan</w:t>
      </w:r>
      <w:proofErr w:type="spellEnd"/>
      <w:r w:rsidRPr="00BB4D3A">
        <w:rPr>
          <w:lang w:val="en-IN"/>
        </w:rPr>
        <w:t xml:space="preserve">, “Hydrothermal investigation of the performance of </w:t>
      </w:r>
      <w:proofErr w:type="spellStart"/>
      <w:r w:rsidRPr="00BB4D3A">
        <w:rPr>
          <w:lang w:val="en-IN"/>
        </w:rPr>
        <w:t>microchannel</w:t>
      </w:r>
      <w:proofErr w:type="spellEnd"/>
      <w:r w:rsidRPr="00BB4D3A">
        <w:rPr>
          <w:lang w:val="en-IN"/>
        </w:rPr>
        <w:t xml:space="preserve"> heat sink with ribs employed on side walls,” Journal of Non-Equilibrium Thermodynamics, vol. 46, no. 3, pp. 255–272, 2021.</w:t>
      </w:r>
      <w:r w:rsidR="00BE67D0" w:rsidRPr="00BB4D3A">
        <w:rPr>
          <w:lang w:val="en-IN"/>
        </w:rPr>
        <w:t xml:space="preserve"> https://doi.org/10.1515/jnet-2020-0104</w:t>
      </w:r>
    </w:p>
    <w:p w14:paraId="7AD22046" w14:textId="663E9DE5" w:rsidR="0046044C" w:rsidRPr="00BB4D3A" w:rsidRDefault="0046044C" w:rsidP="005E4145">
      <w:pPr>
        <w:pStyle w:val="Els-body-text"/>
        <w:numPr>
          <w:ilvl w:val="0"/>
          <w:numId w:val="17"/>
        </w:numPr>
        <w:spacing w:before="240" w:after="240" w:line="300" w:lineRule="atLeast"/>
        <w:rPr>
          <w:lang w:val="en-IN"/>
        </w:rPr>
      </w:pPr>
      <w:r w:rsidRPr="00BB4D3A">
        <w:rPr>
          <w:lang w:val="en-IN"/>
        </w:rPr>
        <w:t xml:space="preserve">S. Singh, S. K. Singh, H. S. Mali, and R. </w:t>
      </w:r>
      <w:proofErr w:type="spellStart"/>
      <w:r w:rsidRPr="00BB4D3A">
        <w:rPr>
          <w:lang w:val="en-IN"/>
        </w:rPr>
        <w:t>Dayal</w:t>
      </w:r>
      <w:proofErr w:type="spellEnd"/>
      <w:r w:rsidRPr="00BB4D3A">
        <w:rPr>
          <w:lang w:val="en-IN"/>
        </w:rPr>
        <w:t xml:space="preserve">, “Numerical investigation of heat transfer in structured rough </w:t>
      </w:r>
      <w:proofErr w:type="spellStart"/>
      <w:r w:rsidRPr="00BB4D3A">
        <w:rPr>
          <w:lang w:val="en-IN"/>
        </w:rPr>
        <w:t>microchannels</w:t>
      </w:r>
      <w:proofErr w:type="spellEnd"/>
      <w:r w:rsidRPr="00BB4D3A">
        <w:rPr>
          <w:lang w:val="en-IN"/>
        </w:rPr>
        <w:t xml:space="preserve"> subjected to pulsed flow,” Applied Thermal Engineering, vol. 197, p. 117361, 2021.</w:t>
      </w:r>
      <w:r w:rsidR="0035611A" w:rsidRPr="00BB4D3A">
        <w:rPr>
          <w:lang w:val="en-IN"/>
        </w:rPr>
        <w:t xml:space="preserve"> https://doi.org/10.1016/j.applthermaleng.2021.117361</w:t>
      </w:r>
    </w:p>
    <w:p w14:paraId="14E48448" w14:textId="54B52AE6" w:rsidR="0046044C" w:rsidRPr="00BB4D3A" w:rsidRDefault="0046044C" w:rsidP="005E4145">
      <w:pPr>
        <w:pStyle w:val="Els-body-text"/>
        <w:numPr>
          <w:ilvl w:val="0"/>
          <w:numId w:val="17"/>
        </w:numPr>
        <w:spacing w:before="240" w:after="240" w:line="300" w:lineRule="atLeast"/>
        <w:rPr>
          <w:lang w:val="en-IN"/>
        </w:rPr>
      </w:pPr>
      <w:r w:rsidRPr="00BB4D3A">
        <w:rPr>
          <w:lang w:val="en-IN"/>
        </w:rPr>
        <w:t xml:space="preserve">S. Singh, H. Mali, S. </w:t>
      </w:r>
      <w:proofErr w:type="spellStart"/>
      <w:r w:rsidRPr="00BB4D3A">
        <w:rPr>
          <w:lang w:val="en-IN"/>
        </w:rPr>
        <w:t>Suryawanshi</w:t>
      </w:r>
      <w:proofErr w:type="spellEnd"/>
      <w:r w:rsidRPr="00BB4D3A">
        <w:rPr>
          <w:lang w:val="en-IN"/>
        </w:rPr>
        <w:t xml:space="preserve">, and S. Singh, “Pulsed-flow </w:t>
      </w:r>
      <w:proofErr w:type="spellStart"/>
      <w:r w:rsidRPr="00BB4D3A">
        <w:rPr>
          <w:lang w:val="en-IN"/>
        </w:rPr>
        <w:t>microchannel</w:t>
      </w:r>
      <w:proofErr w:type="spellEnd"/>
      <w:r w:rsidRPr="00BB4D3A">
        <w:rPr>
          <w:lang w:val="en-IN"/>
        </w:rPr>
        <w:t xml:space="preserve"> heat sink: Simulation and experimental validation,” Journal of </w:t>
      </w:r>
      <w:proofErr w:type="spellStart"/>
      <w:r w:rsidRPr="00BB4D3A">
        <w:rPr>
          <w:lang w:val="en-IN"/>
        </w:rPr>
        <w:t>Micromanufacturing</w:t>
      </w:r>
      <w:proofErr w:type="spellEnd"/>
      <w:r w:rsidRPr="00BB4D3A">
        <w:rPr>
          <w:lang w:val="en-IN"/>
        </w:rPr>
        <w:t>, vol. 5, no. 1, pp. 29–35, 2022.</w:t>
      </w:r>
      <w:r w:rsidR="0035611A" w:rsidRPr="00BB4D3A">
        <w:rPr>
          <w:lang w:val="en-IN"/>
        </w:rPr>
        <w:t xml:space="preserve"> https://doi.org/10.1177/25165984211058625</w:t>
      </w:r>
    </w:p>
    <w:p w14:paraId="04DB029B" w14:textId="3A3DF258" w:rsidR="0046044C" w:rsidRPr="00BB4D3A" w:rsidRDefault="0046044C" w:rsidP="005E4145">
      <w:pPr>
        <w:pStyle w:val="Els-body-text"/>
        <w:numPr>
          <w:ilvl w:val="0"/>
          <w:numId w:val="17"/>
        </w:numPr>
        <w:spacing w:before="240" w:after="240" w:line="300" w:lineRule="atLeast"/>
        <w:rPr>
          <w:lang w:val="en-IN"/>
        </w:rPr>
      </w:pPr>
      <w:r w:rsidRPr="00BB4D3A">
        <w:rPr>
          <w:lang w:val="en-IN"/>
        </w:rPr>
        <w:t xml:space="preserve">T.-C. Hung and W.-M. Yan, “Effects of tapered-channel design on thermal performance of </w:t>
      </w:r>
      <w:proofErr w:type="spellStart"/>
      <w:r w:rsidRPr="00BB4D3A">
        <w:rPr>
          <w:lang w:val="en-IN"/>
        </w:rPr>
        <w:t>microchannel</w:t>
      </w:r>
      <w:proofErr w:type="spellEnd"/>
      <w:r w:rsidRPr="00BB4D3A">
        <w:rPr>
          <w:lang w:val="en-IN"/>
        </w:rPr>
        <w:t xml:space="preserve"> heat sink,” International Communications in Heat and Mass Transfer, vol. 39, no. 9, pp. 1342–1347, 2012.</w:t>
      </w:r>
      <w:r w:rsidR="0035611A" w:rsidRPr="00BB4D3A">
        <w:rPr>
          <w:lang w:val="en-IN"/>
        </w:rPr>
        <w:t xml:space="preserve"> https://doi.org/10.1016/j.icheatmasstransfer.2012.08.008</w:t>
      </w:r>
    </w:p>
    <w:p w14:paraId="7E580EB1" w14:textId="67024621" w:rsidR="0046044C" w:rsidRPr="00BB4D3A" w:rsidRDefault="0046044C" w:rsidP="005E4145">
      <w:pPr>
        <w:pStyle w:val="Els-body-text"/>
        <w:numPr>
          <w:ilvl w:val="0"/>
          <w:numId w:val="17"/>
        </w:numPr>
        <w:spacing w:before="240" w:after="240" w:line="300" w:lineRule="atLeast"/>
        <w:rPr>
          <w:lang w:val="en-IN"/>
        </w:rPr>
      </w:pPr>
      <w:r w:rsidRPr="00BB4D3A">
        <w:rPr>
          <w:lang w:val="en-IN"/>
        </w:rPr>
        <w:lastRenderedPageBreak/>
        <w:t xml:space="preserve">M. </w:t>
      </w:r>
      <w:proofErr w:type="spellStart"/>
      <w:r w:rsidRPr="00BB4D3A">
        <w:rPr>
          <w:lang w:val="en-IN"/>
        </w:rPr>
        <w:t>Dehghan</w:t>
      </w:r>
      <w:proofErr w:type="spellEnd"/>
      <w:r w:rsidRPr="00BB4D3A">
        <w:rPr>
          <w:lang w:val="en-IN"/>
        </w:rPr>
        <w:t xml:space="preserve">, M. </w:t>
      </w:r>
      <w:proofErr w:type="spellStart"/>
      <w:r w:rsidRPr="00BB4D3A">
        <w:rPr>
          <w:lang w:val="en-IN"/>
        </w:rPr>
        <w:t>Daneshipour</w:t>
      </w:r>
      <w:proofErr w:type="spellEnd"/>
      <w:r w:rsidRPr="00BB4D3A">
        <w:rPr>
          <w:lang w:val="en-IN"/>
        </w:rPr>
        <w:t xml:space="preserve">, M. S. </w:t>
      </w:r>
      <w:proofErr w:type="spellStart"/>
      <w:r w:rsidRPr="00BB4D3A">
        <w:rPr>
          <w:lang w:val="en-IN"/>
        </w:rPr>
        <w:t>Valipour</w:t>
      </w:r>
      <w:proofErr w:type="spellEnd"/>
      <w:r w:rsidRPr="00BB4D3A">
        <w:rPr>
          <w:lang w:val="en-IN"/>
        </w:rPr>
        <w:t xml:space="preserve">, R. </w:t>
      </w:r>
      <w:proofErr w:type="spellStart"/>
      <w:r w:rsidRPr="00BB4D3A">
        <w:rPr>
          <w:lang w:val="en-IN"/>
        </w:rPr>
        <w:t>Rafee</w:t>
      </w:r>
      <w:proofErr w:type="spellEnd"/>
      <w:r w:rsidRPr="00BB4D3A">
        <w:rPr>
          <w:lang w:val="en-IN"/>
        </w:rPr>
        <w:t xml:space="preserve">, and S. </w:t>
      </w:r>
      <w:proofErr w:type="spellStart"/>
      <w:r w:rsidRPr="00BB4D3A">
        <w:rPr>
          <w:lang w:val="en-IN"/>
        </w:rPr>
        <w:t>Saedodin</w:t>
      </w:r>
      <w:proofErr w:type="spellEnd"/>
      <w:r w:rsidRPr="00BB4D3A">
        <w:rPr>
          <w:lang w:val="en-IN"/>
        </w:rPr>
        <w:t xml:space="preserve">, “Enhancing heat transfer in </w:t>
      </w:r>
      <w:proofErr w:type="spellStart"/>
      <w:r w:rsidRPr="00BB4D3A">
        <w:rPr>
          <w:lang w:val="en-IN"/>
        </w:rPr>
        <w:t>microchannel</w:t>
      </w:r>
      <w:proofErr w:type="spellEnd"/>
      <w:r w:rsidRPr="00BB4D3A">
        <w:rPr>
          <w:lang w:val="en-IN"/>
        </w:rPr>
        <w:t xml:space="preserve"> heat sinks using converging flow passages,” Energy Conversion and Management, vol. 92, pp. 244–250, 2015.</w:t>
      </w:r>
      <w:r w:rsidR="0035611A" w:rsidRPr="00BB4D3A">
        <w:rPr>
          <w:lang w:val="en-IN"/>
        </w:rPr>
        <w:t xml:space="preserve"> https://doi.org/10.1016/j.enconman.2014.12.063</w:t>
      </w:r>
    </w:p>
    <w:p w14:paraId="7040A542" w14:textId="7F78FF88" w:rsidR="0046044C" w:rsidRPr="00BB4D3A" w:rsidRDefault="0046044C" w:rsidP="005E4145">
      <w:pPr>
        <w:pStyle w:val="Els-body-text"/>
        <w:numPr>
          <w:ilvl w:val="0"/>
          <w:numId w:val="17"/>
        </w:numPr>
        <w:spacing w:before="240" w:after="240" w:line="300" w:lineRule="atLeast"/>
        <w:rPr>
          <w:lang w:val="en-IN"/>
        </w:rPr>
      </w:pPr>
      <w:r w:rsidRPr="00BB4D3A">
        <w:rPr>
          <w:lang w:val="en-IN"/>
        </w:rPr>
        <w:t xml:space="preserve">M. E. Steinke and S. G. </w:t>
      </w:r>
      <w:proofErr w:type="spellStart"/>
      <w:r w:rsidRPr="00BB4D3A">
        <w:rPr>
          <w:lang w:val="en-IN"/>
        </w:rPr>
        <w:t>Kandlikar</w:t>
      </w:r>
      <w:proofErr w:type="spellEnd"/>
      <w:r w:rsidRPr="00BB4D3A">
        <w:rPr>
          <w:lang w:val="en-IN"/>
        </w:rPr>
        <w:t xml:space="preserve">, “Single-phase liquid friction factors in </w:t>
      </w:r>
      <w:proofErr w:type="spellStart"/>
      <w:r w:rsidRPr="00BB4D3A">
        <w:rPr>
          <w:lang w:val="en-IN"/>
        </w:rPr>
        <w:t>microchannels</w:t>
      </w:r>
      <w:proofErr w:type="spellEnd"/>
      <w:r w:rsidRPr="00BB4D3A">
        <w:rPr>
          <w:lang w:val="en-IN"/>
        </w:rPr>
        <w:t>,” International journal of thermal sciences, vol. 45, no. 11, pp. 1073–1083, 2006.</w:t>
      </w:r>
      <w:r w:rsidR="0035611A" w:rsidRPr="00BB4D3A">
        <w:rPr>
          <w:lang w:val="en-IN"/>
        </w:rPr>
        <w:t xml:space="preserve"> https://doi.org/10.1016/j.ijthermalsci.2006.01.016</w:t>
      </w:r>
    </w:p>
    <w:p w14:paraId="350E5A3B" w14:textId="2B0DE46B" w:rsidR="0046044C" w:rsidRPr="00BB4D3A" w:rsidRDefault="0046044C" w:rsidP="005E4145">
      <w:pPr>
        <w:pStyle w:val="Els-body-text"/>
        <w:numPr>
          <w:ilvl w:val="0"/>
          <w:numId w:val="17"/>
        </w:numPr>
        <w:spacing w:before="240" w:after="240" w:line="300" w:lineRule="atLeast"/>
        <w:rPr>
          <w:lang w:val="en-IN"/>
        </w:rPr>
      </w:pPr>
      <w:r w:rsidRPr="00BB4D3A">
        <w:rPr>
          <w:lang w:val="en-IN"/>
        </w:rPr>
        <w:t>R. K. Shah and A. L. London, Laminar flow forced convection in ducts: a source book for compact heat exchanger analytical data. Academic press, 2014.</w:t>
      </w:r>
    </w:p>
    <w:sectPr w:rsidR="0046044C" w:rsidRPr="00BB4D3A" w:rsidSect="003312C3">
      <w:footnotePr>
        <w:numFmt w:val="chicago"/>
      </w:footnotePr>
      <w:type w:val="continuous"/>
      <w:pgSz w:w="11907" w:h="16840" w:code="9"/>
      <w:pgMar w:top="1440" w:right="1440" w:bottom="1440" w:left="1440" w:header="907" w:footer="1253" w:gutter="0"/>
      <w:cols w:num="2"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8335D" w14:textId="77777777" w:rsidR="00573F8F" w:rsidRDefault="00573F8F" w:rsidP="00EF2814">
      <w:r>
        <w:separator/>
      </w:r>
    </w:p>
  </w:endnote>
  <w:endnote w:type="continuationSeparator" w:id="0">
    <w:p w14:paraId="1F832879" w14:textId="77777777" w:rsidR="00573F8F" w:rsidRDefault="00573F8F" w:rsidP="00EF2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Source Sans Pro">
    <w:altName w:val="Sans Serif Collection"/>
    <w:charset w:val="00"/>
    <w:family w:val="swiss"/>
    <w:pitch w:val="variable"/>
    <w:sig w:usb0="600002F7" w:usb1="02000001" w:usb2="00000000" w:usb3="00000000" w:csb0="0000019F" w:csb1="00000000"/>
  </w:font>
  <w:font w:name="Univers">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29ED6" w14:textId="77777777" w:rsidR="00573F8F" w:rsidRDefault="00573F8F" w:rsidP="00EF2814">
      <w:r>
        <w:separator/>
      </w:r>
    </w:p>
  </w:footnote>
  <w:footnote w:type="continuationSeparator" w:id="0">
    <w:p w14:paraId="4A916C68" w14:textId="77777777" w:rsidR="00573F8F" w:rsidRDefault="00573F8F" w:rsidP="00EF28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19100" w14:textId="77777777" w:rsidR="00CA51BC" w:rsidRDefault="00CA51BC">
    <w:pPr>
      <w:pStyle w:val="Header"/>
      <w:tabs>
        <w:tab w:val="center" w:pos="4920"/>
      </w:tabs>
      <w:spacing w:line="200" w:lineRule="exact"/>
      <w:rPr>
        <w:i w:val="0"/>
        <w:iCs/>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rPr>
      <w:t>2</w:t>
    </w:r>
    <w:r>
      <w:rPr>
        <w:rStyle w:val="PageNumber"/>
        <w:i w:val="0"/>
      </w:rPr>
      <w:fldChar w:fldCharType="end"/>
    </w:r>
    <w:r>
      <w:tab/>
    </w:r>
    <w:r>
      <w:fldChar w:fldCharType="begin"/>
    </w:r>
    <w:r>
      <w:instrText xml:space="preserve"> MACROBUTTON NoMacro Author name </w:instrText>
    </w:r>
    <w:r>
      <w:fldChar w:fldCharType="end"/>
    </w:r>
    <w:r>
      <w:t xml:space="preserve">/ </w:t>
    </w:r>
    <w:r>
      <w:rPr>
        <w:iCs/>
        <w:szCs w:val="16"/>
      </w:rPr>
      <w:t xml:space="preserve">Procedia CIRP </w:t>
    </w:r>
    <w:r>
      <w:t>00 (</w:t>
    </w:r>
    <w:r>
      <w:rPr>
        <w:rFonts w:hint="eastAsia"/>
        <w:lang w:eastAsia="zh-CN"/>
      </w:rPr>
      <w:t>201</w:t>
    </w:r>
    <w:r>
      <w:rPr>
        <w:lang w:eastAsia="zh-CN"/>
      </w:rPr>
      <w:t>9</w:t>
    </w:r>
    <w:r>
      <w:t>) 000–000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2BCF4" w14:textId="7E596F45" w:rsidR="00CA51BC" w:rsidRPr="004A2B0A" w:rsidRDefault="00CA51BC">
    <w:pPr>
      <w:pStyle w:val="Header"/>
      <w:tabs>
        <w:tab w:val="clear" w:pos="9356"/>
        <w:tab w:val="center" w:pos="4920"/>
        <w:tab w:val="right" w:pos="10320"/>
      </w:tabs>
      <w:spacing w:line="200" w:lineRule="exact"/>
      <w:rPr>
        <w:rFonts w:ascii="Source Sans Pro" w:hAnsi="Source Sans Pro"/>
      </w:rPr>
    </w:pPr>
    <w:r>
      <w:tab/>
    </w:r>
    <w:r w:rsidR="00EC636F" w:rsidRPr="00BB4D3A">
      <w:rPr>
        <w:i w:val="0"/>
        <w:iCs/>
      </w:rPr>
      <w:t>Malik</w:t>
    </w:r>
    <w:r w:rsidR="00DB4F69" w:rsidRPr="00BB4D3A">
      <w:rPr>
        <w:i w:val="0"/>
        <w:iCs/>
      </w:rPr>
      <w:t xml:space="preserve"> et al. </w:t>
    </w:r>
    <w:r w:rsidRPr="00BB4D3A">
      <w:rPr>
        <w:i w:val="0"/>
        <w:iCs/>
      </w:rPr>
      <w:t xml:space="preserve">/ </w:t>
    </w:r>
    <w:r w:rsidR="00BB4D3A">
      <w:rPr>
        <w:i w:val="0"/>
        <w:iCs/>
        <w:szCs w:val="16"/>
      </w:rPr>
      <w:t xml:space="preserve">COPEN </w:t>
    </w:r>
    <w:r w:rsidRPr="00BB4D3A">
      <w:rPr>
        <w:i w:val="0"/>
        <w:iCs/>
        <w:szCs w:val="16"/>
      </w:rPr>
      <w:t>1</w:t>
    </w:r>
    <w:r w:rsidR="00DB4F69" w:rsidRPr="00BB4D3A">
      <w:rPr>
        <w:i w:val="0"/>
        <w:iCs/>
        <w:szCs w:val="16"/>
      </w:rPr>
      <w:t>4</w:t>
    </w:r>
    <w:r w:rsidRPr="00BB4D3A">
      <w:rPr>
        <w:i w:val="0"/>
        <w:iCs/>
        <w:szCs w:val="16"/>
      </w:rPr>
      <w:t xml:space="preserve"> (202</w:t>
    </w:r>
    <w:r w:rsidR="00DB4F69" w:rsidRPr="00BB4D3A">
      <w:rPr>
        <w:i w:val="0"/>
        <w:iCs/>
        <w:szCs w:val="16"/>
      </w:rPr>
      <w:t>6</w:t>
    </w:r>
    <w:r w:rsidRPr="00BB4D3A">
      <w:rPr>
        <w:i w:val="0"/>
        <w:iCs/>
        <w:szCs w:val="16"/>
      </w:rPr>
      <w:t>)</w:t>
    </w:r>
    <w:r>
      <w:tab/>
    </w:r>
    <w:r w:rsidRPr="004A2B0A">
      <w:rPr>
        <w:rFonts w:ascii="Source Sans Pro" w:hAnsi="Source Sans Pro"/>
      </w:rPr>
      <w:t xml:space="preserve"> </w:t>
    </w:r>
    <w:r w:rsidRPr="004A2B0A">
      <w:rPr>
        <w:rStyle w:val="PageNumber"/>
        <w:rFonts w:ascii="Source Sans Pro" w:hAnsi="Source Sans Pro"/>
        <w:i w:val="0"/>
      </w:rPr>
      <w:fldChar w:fldCharType="begin"/>
    </w:r>
    <w:r w:rsidRPr="004A2B0A">
      <w:rPr>
        <w:rStyle w:val="PageNumber"/>
        <w:rFonts w:ascii="Source Sans Pro" w:hAnsi="Source Sans Pro"/>
        <w:i w:val="0"/>
      </w:rPr>
      <w:instrText xml:space="preserve"> PAGE </w:instrText>
    </w:r>
    <w:r w:rsidRPr="004A2B0A">
      <w:rPr>
        <w:rStyle w:val="PageNumber"/>
        <w:rFonts w:ascii="Source Sans Pro" w:hAnsi="Source Sans Pro"/>
        <w:i w:val="0"/>
      </w:rPr>
      <w:fldChar w:fldCharType="separate"/>
    </w:r>
    <w:r w:rsidR="002370AB">
      <w:rPr>
        <w:rStyle w:val="PageNumber"/>
        <w:rFonts w:ascii="Source Sans Pro" w:hAnsi="Source Sans Pro"/>
        <w:i w:val="0"/>
      </w:rPr>
      <w:t>2</w:t>
    </w:r>
    <w:r w:rsidRPr="004A2B0A">
      <w:rPr>
        <w:rStyle w:val="PageNumber"/>
        <w:rFonts w:ascii="Source Sans Pro" w:hAnsi="Source Sans Pro"/>
        <w:i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583E8" w14:textId="329667AA" w:rsidR="00CA51BC" w:rsidRPr="00BB4D3A" w:rsidRDefault="00DB4F69" w:rsidP="00162909">
    <w:pPr>
      <w:pStyle w:val="Header"/>
      <w:tabs>
        <w:tab w:val="left" w:pos="6804"/>
      </w:tabs>
      <w:jc w:val="right"/>
      <w:rPr>
        <w:b/>
        <w:bCs/>
        <w:i w:val="0"/>
        <w:iCs/>
        <w:sz w:val="28"/>
        <w:szCs w:val="36"/>
        <w:lang w:val="en-IN"/>
      </w:rPr>
    </w:pPr>
    <w:r w:rsidRPr="00BB4D3A">
      <w:rPr>
        <w:b/>
        <w:bCs/>
        <w:i w:val="0"/>
        <w:iCs/>
        <w:sz w:val="28"/>
        <w:szCs w:val="36"/>
        <w:lang w:val="en-IN"/>
      </w:rPr>
      <w:t xml:space="preserve">COPEN </w:t>
    </w:r>
    <w:r w:rsidR="00CA51BC" w:rsidRPr="00BB4D3A">
      <w:rPr>
        <w:b/>
        <w:bCs/>
        <w:i w:val="0"/>
        <w:iCs/>
        <w:sz w:val="28"/>
        <w:szCs w:val="36"/>
        <w:lang w:val="en-IN"/>
      </w:rPr>
      <w:t>1</w:t>
    </w:r>
    <w:r w:rsidRPr="00BB4D3A">
      <w:rPr>
        <w:b/>
        <w:bCs/>
        <w:i w:val="0"/>
        <w:iCs/>
        <w:sz w:val="28"/>
        <w:szCs w:val="36"/>
        <w:lang w:val="en-IN"/>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B5549"/>
    <w:multiLevelType w:val="hybridMultilevel"/>
    <w:tmpl w:val="CAC698D6"/>
    <w:lvl w:ilvl="0" w:tplc="B16024D6">
      <w:start w:val="1"/>
      <w:numFmt w:val="decimal"/>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160E4C20"/>
    <w:multiLevelType w:val="hybridMultilevel"/>
    <w:tmpl w:val="7DC67DE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3">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
    <w:nsid w:val="37AC7865"/>
    <w:multiLevelType w:val="hybridMultilevel"/>
    <w:tmpl w:val="DC0A1DBC"/>
    <w:lvl w:ilvl="0" w:tplc="A364A51C">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nsid w:val="382E774C"/>
    <w:multiLevelType w:val="hybridMultilevel"/>
    <w:tmpl w:val="EC32E7D2"/>
    <w:lvl w:ilvl="0" w:tplc="0420A6D0">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52F6926"/>
    <w:multiLevelType w:val="hybridMultilevel"/>
    <w:tmpl w:val="816461B2"/>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6205803"/>
    <w:multiLevelType w:val="multilevel"/>
    <w:tmpl w:val="28E08F7C"/>
    <w:lvl w:ilvl="0">
      <w:start w:val="1"/>
      <w:numFmt w:val="decimal"/>
      <w:pStyle w:val="Els-1storder-head"/>
      <w:suff w:val="space"/>
      <w:lvlText w:val="%1."/>
      <w:lvlJc w:val="left"/>
      <w:pPr>
        <w:ind w:left="0" w:firstLine="0"/>
      </w:pPr>
      <w:rPr>
        <w:rFonts w:ascii="Aptos" w:hAnsi="Aptos" w:hint="default"/>
      </w:r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8">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9">
    <w:nsid w:val="646A0760"/>
    <w:multiLevelType w:val="hybridMultilevel"/>
    <w:tmpl w:val="4424979A"/>
    <w:lvl w:ilvl="0" w:tplc="684E17C8">
      <w:start w:val="1"/>
      <w:numFmt w:val="bullet"/>
      <w:lvlText w:val="•"/>
      <w:lvlJc w:val="left"/>
      <w:pPr>
        <w:tabs>
          <w:tab w:val="num" w:pos="720"/>
        </w:tabs>
        <w:ind w:left="720" w:hanging="360"/>
      </w:pPr>
      <w:rPr>
        <w:rFonts w:ascii="Times New Roman" w:hAnsi="Times New Roman" w:hint="default"/>
      </w:rPr>
    </w:lvl>
    <w:lvl w:ilvl="1" w:tplc="D8560648" w:tentative="1">
      <w:start w:val="1"/>
      <w:numFmt w:val="bullet"/>
      <w:lvlText w:val="•"/>
      <w:lvlJc w:val="left"/>
      <w:pPr>
        <w:tabs>
          <w:tab w:val="num" w:pos="1440"/>
        </w:tabs>
        <w:ind w:left="1440" w:hanging="360"/>
      </w:pPr>
      <w:rPr>
        <w:rFonts w:ascii="Times New Roman" w:hAnsi="Times New Roman" w:hint="default"/>
      </w:rPr>
    </w:lvl>
    <w:lvl w:ilvl="2" w:tplc="582CFD7E" w:tentative="1">
      <w:start w:val="1"/>
      <w:numFmt w:val="bullet"/>
      <w:lvlText w:val="•"/>
      <w:lvlJc w:val="left"/>
      <w:pPr>
        <w:tabs>
          <w:tab w:val="num" w:pos="2160"/>
        </w:tabs>
        <w:ind w:left="2160" w:hanging="360"/>
      </w:pPr>
      <w:rPr>
        <w:rFonts w:ascii="Times New Roman" w:hAnsi="Times New Roman" w:hint="default"/>
      </w:rPr>
    </w:lvl>
    <w:lvl w:ilvl="3" w:tplc="7F928476" w:tentative="1">
      <w:start w:val="1"/>
      <w:numFmt w:val="bullet"/>
      <w:lvlText w:val="•"/>
      <w:lvlJc w:val="left"/>
      <w:pPr>
        <w:tabs>
          <w:tab w:val="num" w:pos="2880"/>
        </w:tabs>
        <w:ind w:left="2880" w:hanging="360"/>
      </w:pPr>
      <w:rPr>
        <w:rFonts w:ascii="Times New Roman" w:hAnsi="Times New Roman" w:hint="default"/>
      </w:rPr>
    </w:lvl>
    <w:lvl w:ilvl="4" w:tplc="2D64CA5A" w:tentative="1">
      <w:start w:val="1"/>
      <w:numFmt w:val="bullet"/>
      <w:lvlText w:val="•"/>
      <w:lvlJc w:val="left"/>
      <w:pPr>
        <w:tabs>
          <w:tab w:val="num" w:pos="3600"/>
        </w:tabs>
        <w:ind w:left="3600" w:hanging="360"/>
      </w:pPr>
      <w:rPr>
        <w:rFonts w:ascii="Times New Roman" w:hAnsi="Times New Roman" w:hint="default"/>
      </w:rPr>
    </w:lvl>
    <w:lvl w:ilvl="5" w:tplc="7228CC62" w:tentative="1">
      <w:start w:val="1"/>
      <w:numFmt w:val="bullet"/>
      <w:lvlText w:val="•"/>
      <w:lvlJc w:val="left"/>
      <w:pPr>
        <w:tabs>
          <w:tab w:val="num" w:pos="4320"/>
        </w:tabs>
        <w:ind w:left="4320" w:hanging="360"/>
      </w:pPr>
      <w:rPr>
        <w:rFonts w:ascii="Times New Roman" w:hAnsi="Times New Roman" w:hint="default"/>
      </w:rPr>
    </w:lvl>
    <w:lvl w:ilvl="6" w:tplc="40322FFC" w:tentative="1">
      <w:start w:val="1"/>
      <w:numFmt w:val="bullet"/>
      <w:lvlText w:val="•"/>
      <w:lvlJc w:val="left"/>
      <w:pPr>
        <w:tabs>
          <w:tab w:val="num" w:pos="5040"/>
        </w:tabs>
        <w:ind w:left="5040" w:hanging="360"/>
      </w:pPr>
      <w:rPr>
        <w:rFonts w:ascii="Times New Roman" w:hAnsi="Times New Roman" w:hint="default"/>
      </w:rPr>
    </w:lvl>
    <w:lvl w:ilvl="7" w:tplc="3F1ECF2E" w:tentative="1">
      <w:start w:val="1"/>
      <w:numFmt w:val="bullet"/>
      <w:lvlText w:val="•"/>
      <w:lvlJc w:val="left"/>
      <w:pPr>
        <w:tabs>
          <w:tab w:val="num" w:pos="5760"/>
        </w:tabs>
        <w:ind w:left="5760" w:hanging="360"/>
      </w:pPr>
      <w:rPr>
        <w:rFonts w:ascii="Times New Roman" w:hAnsi="Times New Roman" w:hint="default"/>
      </w:rPr>
    </w:lvl>
    <w:lvl w:ilvl="8" w:tplc="8C785A4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94D7EB6"/>
    <w:multiLevelType w:val="hybridMultilevel"/>
    <w:tmpl w:val="4336D682"/>
    <w:lvl w:ilvl="0" w:tplc="BCD0EEFE">
      <w:start w:val="1"/>
      <w:numFmt w:val="decimal"/>
      <w:lvlText w:val="[%1]"/>
      <w:lvlJc w:val="left"/>
      <w:pPr>
        <w:ind w:left="360" w:hanging="360"/>
      </w:pPr>
      <w:rPr>
        <w:rFonts w:hint="default"/>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75534AFC"/>
    <w:multiLevelType w:val="multilevel"/>
    <w:tmpl w:val="EEFA7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A30FF6"/>
    <w:multiLevelType w:val="multilevel"/>
    <w:tmpl w:val="EE4C9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2"/>
  </w:num>
  <w:num w:numId="4">
    <w:abstractNumId w:val="7"/>
  </w:num>
  <w:num w:numId="5">
    <w:abstractNumId w:val="7"/>
  </w:num>
  <w:num w:numId="6">
    <w:abstractNumId w:val="10"/>
  </w:num>
  <w:num w:numId="7">
    <w:abstractNumId w:val="1"/>
  </w:num>
  <w:num w:numId="8">
    <w:abstractNumId w:val="7"/>
  </w:num>
  <w:num w:numId="9">
    <w:abstractNumId w:val="7"/>
  </w:num>
  <w:num w:numId="10">
    <w:abstractNumId w:val="6"/>
  </w:num>
  <w:num w:numId="11">
    <w:abstractNumId w:val="11"/>
  </w:num>
  <w:num w:numId="12">
    <w:abstractNumId w:val="12"/>
  </w:num>
  <w:num w:numId="13">
    <w:abstractNumId w:val="9"/>
  </w:num>
  <w:num w:numId="14">
    <w:abstractNumId w:val="4"/>
  </w:num>
  <w:num w:numId="15">
    <w:abstractNumId w:val="7"/>
  </w:num>
  <w:num w:numId="16">
    <w:abstractNumId w:val="5"/>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YwNbUwMTMyMzW3MDRT0lEKTi0uzszPAykwNKwFAOru7GgtAAAA"/>
  </w:docVars>
  <w:rsids>
    <w:rsidRoot w:val="00B07454"/>
    <w:rsid w:val="000000E8"/>
    <w:rsid w:val="00001367"/>
    <w:rsid w:val="000015DC"/>
    <w:rsid w:val="00003E29"/>
    <w:rsid w:val="00043701"/>
    <w:rsid w:val="00043F13"/>
    <w:rsid w:val="00046D50"/>
    <w:rsid w:val="00052168"/>
    <w:rsid w:val="00060FA2"/>
    <w:rsid w:val="00063555"/>
    <w:rsid w:val="000835BA"/>
    <w:rsid w:val="00096BFA"/>
    <w:rsid w:val="000A69AD"/>
    <w:rsid w:val="000B42E5"/>
    <w:rsid w:val="000D0652"/>
    <w:rsid w:val="000D56D7"/>
    <w:rsid w:val="000E1015"/>
    <w:rsid w:val="000E115E"/>
    <w:rsid w:val="000E65A1"/>
    <w:rsid w:val="000F626B"/>
    <w:rsid w:val="00114E1B"/>
    <w:rsid w:val="00117052"/>
    <w:rsid w:val="001207E9"/>
    <w:rsid w:val="00122364"/>
    <w:rsid w:val="001226B0"/>
    <w:rsid w:val="00132AFF"/>
    <w:rsid w:val="00133476"/>
    <w:rsid w:val="00144425"/>
    <w:rsid w:val="00151DAE"/>
    <w:rsid w:val="00157BD8"/>
    <w:rsid w:val="00157D89"/>
    <w:rsid w:val="00162523"/>
    <w:rsid w:val="00162866"/>
    <w:rsid w:val="00162909"/>
    <w:rsid w:val="00180F38"/>
    <w:rsid w:val="001A1F7E"/>
    <w:rsid w:val="001A5982"/>
    <w:rsid w:val="001A615A"/>
    <w:rsid w:val="001A7E38"/>
    <w:rsid w:val="001B35B8"/>
    <w:rsid w:val="001C5EC0"/>
    <w:rsid w:val="001E426B"/>
    <w:rsid w:val="001F03F4"/>
    <w:rsid w:val="00200789"/>
    <w:rsid w:val="00202362"/>
    <w:rsid w:val="0021238B"/>
    <w:rsid w:val="002137BB"/>
    <w:rsid w:val="00220A5F"/>
    <w:rsid w:val="0022334F"/>
    <w:rsid w:val="00226A5B"/>
    <w:rsid w:val="00230E38"/>
    <w:rsid w:val="00234E3F"/>
    <w:rsid w:val="002370AB"/>
    <w:rsid w:val="002654DA"/>
    <w:rsid w:val="00277521"/>
    <w:rsid w:val="002874B7"/>
    <w:rsid w:val="002A5C19"/>
    <w:rsid w:val="002B7898"/>
    <w:rsid w:val="002E30B0"/>
    <w:rsid w:val="002E5455"/>
    <w:rsid w:val="002F5A0F"/>
    <w:rsid w:val="002F687C"/>
    <w:rsid w:val="00300665"/>
    <w:rsid w:val="00313216"/>
    <w:rsid w:val="00313DA6"/>
    <w:rsid w:val="00314A62"/>
    <w:rsid w:val="003209C3"/>
    <w:rsid w:val="00327BF8"/>
    <w:rsid w:val="003301B6"/>
    <w:rsid w:val="003312C3"/>
    <w:rsid w:val="003320F5"/>
    <w:rsid w:val="003415F1"/>
    <w:rsid w:val="00344EE5"/>
    <w:rsid w:val="003517D5"/>
    <w:rsid w:val="0035611A"/>
    <w:rsid w:val="0035716E"/>
    <w:rsid w:val="00364B6D"/>
    <w:rsid w:val="00365754"/>
    <w:rsid w:val="00365EBE"/>
    <w:rsid w:val="00375423"/>
    <w:rsid w:val="003827FF"/>
    <w:rsid w:val="00384908"/>
    <w:rsid w:val="00384B5E"/>
    <w:rsid w:val="00385602"/>
    <w:rsid w:val="00386F76"/>
    <w:rsid w:val="003927D1"/>
    <w:rsid w:val="00395037"/>
    <w:rsid w:val="003A2D60"/>
    <w:rsid w:val="003B1F2A"/>
    <w:rsid w:val="003B2EA7"/>
    <w:rsid w:val="003B3A7F"/>
    <w:rsid w:val="003C5658"/>
    <w:rsid w:val="003D09FB"/>
    <w:rsid w:val="003D5E47"/>
    <w:rsid w:val="003E79F2"/>
    <w:rsid w:val="003E7EC9"/>
    <w:rsid w:val="004137DE"/>
    <w:rsid w:val="004143A8"/>
    <w:rsid w:val="00423407"/>
    <w:rsid w:val="00423512"/>
    <w:rsid w:val="004304CB"/>
    <w:rsid w:val="004319C0"/>
    <w:rsid w:val="00432A81"/>
    <w:rsid w:val="00442215"/>
    <w:rsid w:val="004453FA"/>
    <w:rsid w:val="004467EC"/>
    <w:rsid w:val="00452D2C"/>
    <w:rsid w:val="004570CA"/>
    <w:rsid w:val="0046044C"/>
    <w:rsid w:val="004623B5"/>
    <w:rsid w:val="00471F40"/>
    <w:rsid w:val="00475041"/>
    <w:rsid w:val="00481E98"/>
    <w:rsid w:val="00485CF0"/>
    <w:rsid w:val="00492CE3"/>
    <w:rsid w:val="00497B96"/>
    <w:rsid w:val="004A1D23"/>
    <w:rsid w:val="004A2982"/>
    <w:rsid w:val="004A2B0A"/>
    <w:rsid w:val="004D5AB5"/>
    <w:rsid w:val="004D6DD6"/>
    <w:rsid w:val="004E065E"/>
    <w:rsid w:val="004E17A2"/>
    <w:rsid w:val="004F234A"/>
    <w:rsid w:val="004F3312"/>
    <w:rsid w:val="004F438A"/>
    <w:rsid w:val="004F4D98"/>
    <w:rsid w:val="00506759"/>
    <w:rsid w:val="005159D4"/>
    <w:rsid w:val="005246BC"/>
    <w:rsid w:val="00532A73"/>
    <w:rsid w:val="00534364"/>
    <w:rsid w:val="00536D6D"/>
    <w:rsid w:val="005428EA"/>
    <w:rsid w:val="005563D6"/>
    <w:rsid w:val="005659B3"/>
    <w:rsid w:val="00573F8F"/>
    <w:rsid w:val="00575985"/>
    <w:rsid w:val="00576483"/>
    <w:rsid w:val="00586964"/>
    <w:rsid w:val="00591DA1"/>
    <w:rsid w:val="00596E12"/>
    <w:rsid w:val="00597D51"/>
    <w:rsid w:val="005A18E8"/>
    <w:rsid w:val="005A25D6"/>
    <w:rsid w:val="005A43F3"/>
    <w:rsid w:val="005B1908"/>
    <w:rsid w:val="005B4BD3"/>
    <w:rsid w:val="005B657F"/>
    <w:rsid w:val="005C2DF6"/>
    <w:rsid w:val="005D4000"/>
    <w:rsid w:val="005E3596"/>
    <w:rsid w:val="005E4145"/>
    <w:rsid w:val="005F598A"/>
    <w:rsid w:val="00606812"/>
    <w:rsid w:val="00622F97"/>
    <w:rsid w:val="00626B64"/>
    <w:rsid w:val="00627BFC"/>
    <w:rsid w:val="00640A4C"/>
    <w:rsid w:val="00640D22"/>
    <w:rsid w:val="00661450"/>
    <w:rsid w:val="0066645E"/>
    <w:rsid w:val="00685824"/>
    <w:rsid w:val="006901FC"/>
    <w:rsid w:val="00690B5A"/>
    <w:rsid w:val="00690D04"/>
    <w:rsid w:val="00692ADF"/>
    <w:rsid w:val="006969FC"/>
    <w:rsid w:val="00696F2F"/>
    <w:rsid w:val="006B750E"/>
    <w:rsid w:val="006E1E6B"/>
    <w:rsid w:val="006E5584"/>
    <w:rsid w:val="006F3ED1"/>
    <w:rsid w:val="007015AB"/>
    <w:rsid w:val="007036EA"/>
    <w:rsid w:val="00703C10"/>
    <w:rsid w:val="0072636E"/>
    <w:rsid w:val="00736585"/>
    <w:rsid w:val="007444DF"/>
    <w:rsid w:val="00744BC7"/>
    <w:rsid w:val="00767AA2"/>
    <w:rsid w:val="00771A4C"/>
    <w:rsid w:val="007762B6"/>
    <w:rsid w:val="00784CE0"/>
    <w:rsid w:val="00791F6F"/>
    <w:rsid w:val="007A4A5B"/>
    <w:rsid w:val="007B4981"/>
    <w:rsid w:val="007C29CD"/>
    <w:rsid w:val="007D4004"/>
    <w:rsid w:val="007E14DB"/>
    <w:rsid w:val="007E4762"/>
    <w:rsid w:val="007E4AE7"/>
    <w:rsid w:val="007E6BDA"/>
    <w:rsid w:val="008015F7"/>
    <w:rsid w:val="00801822"/>
    <w:rsid w:val="0080463C"/>
    <w:rsid w:val="008065CA"/>
    <w:rsid w:val="00810ADF"/>
    <w:rsid w:val="0081187F"/>
    <w:rsid w:val="0081600E"/>
    <w:rsid w:val="00816341"/>
    <w:rsid w:val="008209E4"/>
    <w:rsid w:val="00824AF4"/>
    <w:rsid w:val="0083159D"/>
    <w:rsid w:val="00834D54"/>
    <w:rsid w:val="00836072"/>
    <w:rsid w:val="00844046"/>
    <w:rsid w:val="008515EB"/>
    <w:rsid w:val="0085319F"/>
    <w:rsid w:val="00861342"/>
    <w:rsid w:val="00862CB1"/>
    <w:rsid w:val="00895706"/>
    <w:rsid w:val="008A4885"/>
    <w:rsid w:val="008C08D3"/>
    <w:rsid w:val="008F0E90"/>
    <w:rsid w:val="00902269"/>
    <w:rsid w:val="00915B29"/>
    <w:rsid w:val="00915D93"/>
    <w:rsid w:val="009255DD"/>
    <w:rsid w:val="009304E1"/>
    <w:rsid w:val="009373CF"/>
    <w:rsid w:val="00944169"/>
    <w:rsid w:val="00951A34"/>
    <w:rsid w:val="0095489E"/>
    <w:rsid w:val="009573E5"/>
    <w:rsid w:val="00957952"/>
    <w:rsid w:val="00960016"/>
    <w:rsid w:val="00972B66"/>
    <w:rsid w:val="00975952"/>
    <w:rsid w:val="009766D9"/>
    <w:rsid w:val="00981681"/>
    <w:rsid w:val="009876DB"/>
    <w:rsid w:val="009C1675"/>
    <w:rsid w:val="009E6C36"/>
    <w:rsid w:val="00A01728"/>
    <w:rsid w:val="00A13B5E"/>
    <w:rsid w:val="00A26367"/>
    <w:rsid w:val="00A27D05"/>
    <w:rsid w:val="00A33C04"/>
    <w:rsid w:val="00A37D29"/>
    <w:rsid w:val="00A41733"/>
    <w:rsid w:val="00A45981"/>
    <w:rsid w:val="00A57B01"/>
    <w:rsid w:val="00A73D12"/>
    <w:rsid w:val="00A74D2C"/>
    <w:rsid w:val="00A8054D"/>
    <w:rsid w:val="00A85BAC"/>
    <w:rsid w:val="00A96DDC"/>
    <w:rsid w:val="00AA738F"/>
    <w:rsid w:val="00AB0A0B"/>
    <w:rsid w:val="00AB50AE"/>
    <w:rsid w:val="00AC43BE"/>
    <w:rsid w:val="00AC6137"/>
    <w:rsid w:val="00AD1AAF"/>
    <w:rsid w:val="00AD2EFB"/>
    <w:rsid w:val="00AE3D26"/>
    <w:rsid w:val="00AE53DC"/>
    <w:rsid w:val="00AF2EA8"/>
    <w:rsid w:val="00B07454"/>
    <w:rsid w:val="00B10992"/>
    <w:rsid w:val="00B244C8"/>
    <w:rsid w:val="00B26858"/>
    <w:rsid w:val="00B334DB"/>
    <w:rsid w:val="00B47DBA"/>
    <w:rsid w:val="00B500ED"/>
    <w:rsid w:val="00B54672"/>
    <w:rsid w:val="00B557E5"/>
    <w:rsid w:val="00B55A84"/>
    <w:rsid w:val="00B666D5"/>
    <w:rsid w:val="00B71C0F"/>
    <w:rsid w:val="00B741DD"/>
    <w:rsid w:val="00B76844"/>
    <w:rsid w:val="00B81584"/>
    <w:rsid w:val="00B9493F"/>
    <w:rsid w:val="00B95909"/>
    <w:rsid w:val="00B97F23"/>
    <w:rsid w:val="00BB3D87"/>
    <w:rsid w:val="00BB4D3A"/>
    <w:rsid w:val="00BB74AC"/>
    <w:rsid w:val="00BC3120"/>
    <w:rsid w:val="00BE67D0"/>
    <w:rsid w:val="00BF0983"/>
    <w:rsid w:val="00C140BF"/>
    <w:rsid w:val="00C1705E"/>
    <w:rsid w:val="00C1797C"/>
    <w:rsid w:val="00C21873"/>
    <w:rsid w:val="00C24495"/>
    <w:rsid w:val="00C24D74"/>
    <w:rsid w:val="00C45501"/>
    <w:rsid w:val="00C542FB"/>
    <w:rsid w:val="00C54575"/>
    <w:rsid w:val="00C612A0"/>
    <w:rsid w:val="00C61438"/>
    <w:rsid w:val="00C62AD5"/>
    <w:rsid w:val="00C642F2"/>
    <w:rsid w:val="00C7330D"/>
    <w:rsid w:val="00C7374E"/>
    <w:rsid w:val="00C863AD"/>
    <w:rsid w:val="00CA5074"/>
    <w:rsid w:val="00CA5153"/>
    <w:rsid w:val="00CA51BC"/>
    <w:rsid w:val="00CC2E2F"/>
    <w:rsid w:val="00CD3E82"/>
    <w:rsid w:val="00CD5252"/>
    <w:rsid w:val="00CD6EB8"/>
    <w:rsid w:val="00CD7CD1"/>
    <w:rsid w:val="00CE1A35"/>
    <w:rsid w:val="00CE37AE"/>
    <w:rsid w:val="00CE7DF4"/>
    <w:rsid w:val="00D00842"/>
    <w:rsid w:val="00D21CD7"/>
    <w:rsid w:val="00D2762E"/>
    <w:rsid w:val="00D3632A"/>
    <w:rsid w:val="00D43A33"/>
    <w:rsid w:val="00D44944"/>
    <w:rsid w:val="00D45EB4"/>
    <w:rsid w:val="00D62E69"/>
    <w:rsid w:val="00D76BF0"/>
    <w:rsid w:val="00D77465"/>
    <w:rsid w:val="00D821A4"/>
    <w:rsid w:val="00D84E60"/>
    <w:rsid w:val="00DA08B4"/>
    <w:rsid w:val="00DB2C4C"/>
    <w:rsid w:val="00DB4F69"/>
    <w:rsid w:val="00DB5474"/>
    <w:rsid w:val="00DD618B"/>
    <w:rsid w:val="00DE2CFE"/>
    <w:rsid w:val="00DE356B"/>
    <w:rsid w:val="00DE4904"/>
    <w:rsid w:val="00DE6559"/>
    <w:rsid w:val="00E11565"/>
    <w:rsid w:val="00E1481D"/>
    <w:rsid w:val="00E2517D"/>
    <w:rsid w:val="00E25DDE"/>
    <w:rsid w:val="00E36367"/>
    <w:rsid w:val="00E40BC7"/>
    <w:rsid w:val="00E43DF8"/>
    <w:rsid w:val="00E47884"/>
    <w:rsid w:val="00E52685"/>
    <w:rsid w:val="00E61C10"/>
    <w:rsid w:val="00E64115"/>
    <w:rsid w:val="00E651AD"/>
    <w:rsid w:val="00E658E9"/>
    <w:rsid w:val="00EA4EE1"/>
    <w:rsid w:val="00EC636F"/>
    <w:rsid w:val="00ED34B8"/>
    <w:rsid w:val="00ED3FB7"/>
    <w:rsid w:val="00ED6E29"/>
    <w:rsid w:val="00EE6B07"/>
    <w:rsid w:val="00EF0FB2"/>
    <w:rsid w:val="00EF2814"/>
    <w:rsid w:val="00F10F5E"/>
    <w:rsid w:val="00F22986"/>
    <w:rsid w:val="00F26B89"/>
    <w:rsid w:val="00F3490F"/>
    <w:rsid w:val="00F41673"/>
    <w:rsid w:val="00F43109"/>
    <w:rsid w:val="00F54CEB"/>
    <w:rsid w:val="00F6185A"/>
    <w:rsid w:val="00F760C0"/>
    <w:rsid w:val="00F77701"/>
    <w:rsid w:val="00F81B56"/>
    <w:rsid w:val="00F910DA"/>
    <w:rsid w:val="00F92CA0"/>
    <w:rsid w:val="00F94B60"/>
    <w:rsid w:val="00F94B93"/>
    <w:rsid w:val="00FA394E"/>
    <w:rsid w:val="00FA5E88"/>
    <w:rsid w:val="00FA6013"/>
    <w:rsid w:val="00FB417B"/>
    <w:rsid w:val="00FC6867"/>
    <w:rsid w:val="00FD20F6"/>
    <w:rsid w:val="00FE1521"/>
    <w:rsid w:val="00FE4D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02B34"/>
  <w15:chartTrackingRefBased/>
  <w15:docId w15:val="{2E45C897-21F3-4842-9B29-8777EB40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heme="minorHAnsi" w:hAnsi="Franklin Gothic Book" w:cstheme="minorBidi"/>
        <w:kern w:val="2"/>
        <w:sz w:val="22"/>
        <w:szCs w:val="22"/>
        <w:lang w:val="en-IN" w:eastAsia="en-US" w:bidi="ar-SA"/>
        <w14:ligatures w14:val="standardContextual"/>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814"/>
    <w:pPr>
      <w:widowControl w:val="0"/>
      <w:spacing w:line="240" w:lineRule="auto"/>
      <w:jc w:val="left"/>
    </w:pPr>
    <w:rPr>
      <w:rFonts w:ascii="Times New Roman" w:eastAsia="SimSun" w:hAnsi="Times New Roman" w:cs="Times New Roman"/>
      <w:kern w:val="0"/>
      <w:sz w:val="20"/>
      <w:szCs w:val="20"/>
      <w:lang w:val="en-GB"/>
      <w14:ligatures w14:val="none"/>
    </w:rPr>
  </w:style>
  <w:style w:type="paragraph" w:styleId="Heading1">
    <w:name w:val="heading 1"/>
    <w:basedOn w:val="Normal"/>
    <w:next w:val="Normal"/>
    <w:link w:val="Heading1Char"/>
    <w:qFormat/>
    <w:rsid w:val="00B07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4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4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0745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0745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745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745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745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4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4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45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45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0745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074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74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74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74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74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4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4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74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7454"/>
    <w:rPr>
      <w:i/>
      <w:iCs/>
      <w:color w:val="404040" w:themeColor="text1" w:themeTint="BF"/>
    </w:rPr>
  </w:style>
  <w:style w:type="paragraph" w:styleId="ListParagraph">
    <w:name w:val="List Paragraph"/>
    <w:basedOn w:val="Normal"/>
    <w:uiPriority w:val="34"/>
    <w:qFormat/>
    <w:rsid w:val="00B07454"/>
    <w:pPr>
      <w:ind w:left="720"/>
      <w:contextualSpacing/>
    </w:pPr>
  </w:style>
  <w:style w:type="character" w:styleId="IntenseEmphasis">
    <w:name w:val="Intense Emphasis"/>
    <w:basedOn w:val="DefaultParagraphFont"/>
    <w:uiPriority w:val="21"/>
    <w:qFormat/>
    <w:rsid w:val="00B07454"/>
    <w:rPr>
      <w:i/>
      <w:iCs/>
      <w:color w:val="0F4761" w:themeColor="accent1" w:themeShade="BF"/>
    </w:rPr>
  </w:style>
  <w:style w:type="paragraph" w:styleId="IntenseQuote">
    <w:name w:val="Intense Quote"/>
    <w:basedOn w:val="Normal"/>
    <w:next w:val="Normal"/>
    <w:link w:val="IntenseQuoteChar"/>
    <w:uiPriority w:val="30"/>
    <w:qFormat/>
    <w:rsid w:val="00B07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454"/>
    <w:rPr>
      <w:i/>
      <w:iCs/>
      <w:color w:val="0F4761" w:themeColor="accent1" w:themeShade="BF"/>
    </w:rPr>
  </w:style>
  <w:style w:type="character" w:styleId="IntenseReference">
    <w:name w:val="Intense Reference"/>
    <w:basedOn w:val="DefaultParagraphFont"/>
    <w:uiPriority w:val="32"/>
    <w:qFormat/>
    <w:rsid w:val="00B07454"/>
    <w:rPr>
      <w:b/>
      <w:bCs/>
      <w:smallCaps/>
      <w:color w:val="0F4761" w:themeColor="accent1" w:themeShade="BF"/>
      <w:spacing w:val="5"/>
    </w:rPr>
  </w:style>
  <w:style w:type="paragraph" w:customStyle="1" w:styleId="Els-1storder-head">
    <w:name w:val="Els-1storder-head"/>
    <w:next w:val="Els-body-text"/>
    <w:rsid w:val="00EF2814"/>
    <w:pPr>
      <w:keepNext/>
      <w:numPr>
        <w:numId w:val="4"/>
      </w:numPr>
      <w:suppressAutoHyphens/>
      <w:spacing w:before="240" w:after="240" w:line="240" w:lineRule="exact"/>
      <w:jc w:val="left"/>
    </w:pPr>
    <w:rPr>
      <w:rFonts w:ascii="Times New Roman" w:eastAsia="SimSun" w:hAnsi="Times New Roman" w:cs="Times New Roman"/>
      <w:b/>
      <w:kern w:val="0"/>
      <w:sz w:val="20"/>
      <w:szCs w:val="20"/>
      <w:lang w:val="en-US"/>
      <w14:ligatures w14:val="none"/>
    </w:rPr>
  </w:style>
  <w:style w:type="paragraph" w:customStyle="1" w:styleId="Els-2ndorder-head">
    <w:name w:val="Els-2ndorder-head"/>
    <w:next w:val="Els-body-text"/>
    <w:rsid w:val="00EF2814"/>
    <w:pPr>
      <w:keepNext/>
      <w:numPr>
        <w:ilvl w:val="1"/>
        <w:numId w:val="4"/>
      </w:numPr>
      <w:suppressAutoHyphens/>
      <w:spacing w:before="240" w:after="240" w:line="240" w:lineRule="exact"/>
      <w:jc w:val="left"/>
    </w:pPr>
    <w:rPr>
      <w:rFonts w:ascii="Times New Roman" w:eastAsia="SimSun" w:hAnsi="Times New Roman" w:cs="Times New Roman"/>
      <w:i/>
      <w:kern w:val="0"/>
      <w:sz w:val="20"/>
      <w:szCs w:val="20"/>
      <w:lang w:val="en-US"/>
      <w14:ligatures w14:val="none"/>
    </w:rPr>
  </w:style>
  <w:style w:type="paragraph" w:customStyle="1" w:styleId="Els-3rdorder-head">
    <w:name w:val="Els-3rdorder-head"/>
    <w:next w:val="Els-body-text"/>
    <w:rsid w:val="00EF2814"/>
    <w:pPr>
      <w:keepNext/>
      <w:numPr>
        <w:ilvl w:val="2"/>
        <w:numId w:val="4"/>
      </w:numPr>
      <w:suppressAutoHyphens/>
      <w:spacing w:before="240" w:line="240" w:lineRule="exact"/>
      <w:jc w:val="left"/>
    </w:pPr>
    <w:rPr>
      <w:rFonts w:ascii="Times New Roman" w:eastAsia="SimSun" w:hAnsi="Times New Roman" w:cs="Times New Roman"/>
      <w:i/>
      <w:kern w:val="0"/>
      <w:sz w:val="20"/>
      <w:szCs w:val="20"/>
      <w:lang w:val="en-US"/>
      <w14:ligatures w14:val="none"/>
    </w:rPr>
  </w:style>
  <w:style w:type="paragraph" w:customStyle="1" w:styleId="Els-4thorder-head">
    <w:name w:val="Els-4thorder-head"/>
    <w:next w:val="Els-body-text"/>
    <w:rsid w:val="00EF2814"/>
    <w:pPr>
      <w:keepNext/>
      <w:numPr>
        <w:ilvl w:val="3"/>
        <w:numId w:val="4"/>
      </w:numPr>
      <w:suppressAutoHyphens/>
      <w:spacing w:before="240" w:line="240" w:lineRule="exact"/>
      <w:jc w:val="left"/>
    </w:pPr>
    <w:rPr>
      <w:rFonts w:ascii="Times New Roman" w:eastAsia="SimSun" w:hAnsi="Times New Roman" w:cs="Times New Roman"/>
      <w:i/>
      <w:kern w:val="0"/>
      <w:sz w:val="20"/>
      <w:szCs w:val="20"/>
      <w:lang w:val="en-US"/>
      <w14:ligatures w14:val="none"/>
    </w:rPr>
  </w:style>
  <w:style w:type="paragraph" w:customStyle="1" w:styleId="Els-Abstract-head">
    <w:name w:val="Els-Abstract-head"/>
    <w:next w:val="Normal"/>
    <w:rsid w:val="00EF2814"/>
    <w:pPr>
      <w:keepNext/>
      <w:pBdr>
        <w:top w:val="single" w:sz="4" w:space="10" w:color="auto"/>
      </w:pBdr>
      <w:suppressAutoHyphens/>
      <w:spacing w:after="220" w:line="220" w:lineRule="exact"/>
      <w:jc w:val="left"/>
    </w:pPr>
    <w:rPr>
      <w:rFonts w:ascii="Times New Roman" w:eastAsia="SimSun" w:hAnsi="Times New Roman" w:cs="Times New Roman"/>
      <w:b/>
      <w:kern w:val="0"/>
      <w:sz w:val="18"/>
      <w:szCs w:val="20"/>
      <w:lang w:val="en-US"/>
      <w14:ligatures w14:val="none"/>
    </w:rPr>
  </w:style>
  <w:style w:type="paragraph" w:customStyle="1" w:styleId="Els-Abstract-text">
    <w:name w:val="Els-Abstract-text"/>
    <w:next w:val="Normal"/>
    <w:rsid w:val="00EF2814"/>
    <w:pPr>
      <w:spacing w:line="220" w:lineRule="exact"/>
    </w:pPr>
    <w:rPr>
      <w:rFonts w:ascii="Times New Roman" w:eastAsia="SimSun" w:hAnsi="Times New Roman" w:cs="Times New Roman"/>
      <w:kern w:val="0"/>
      <w:sz w:val="18"/>
      <w:szCs w:val="20"/>
      <w:lang w:val="en-US"/>
      <w14:ligatures w14:val="none"/>
    </w:rPr>
  </w:style>
  <w:style w:type="paragraph" w:customStyle="1" w:styleId="Els-acknowledgement">
    <w:name w:val="Els-acknowledgement"/>
    <w:next w:val="Normal"/>
    <w:rsid w:val="00EF2814"/>
    <w:pPr>
      <w:keepNext/>
      <w:spacing w:before="480" w:after="240" w:line="220" w:lineRule="exact"/>
      <w:jc w:val="left"/>
    </w:pPr>
    <w:rPr>
      <w:rFonts w:ascii="Times New Roman" w:eastAsia="SimSun" w:hAnsi="Times New Roman" w:cs="Times New Roman"/>
      <w:b/>
      <w:kern w:val="0"/>
      <w:sz w:val="20"/>
      <w:szCs w:val="20"/>
      <w:lang w:val="en-US"/>
      <w14:ligatures w14:val="none"/>
    </w:rPr>
  </w:style>
  <w:style w:type="paragraph" w:customStyle="1" w:styleId="Els-Affiliation">
    <w:name w:val="Els-Affiliation"/>
    <w:next w:val="Els-Abstract-head"/>
    <w:rsid w:val="00EF2814"/>
    <w:pPr>
      <w:suppressAutoHyphens/>
      <w:spacing w:line="200" w:lineRule="exact"/>
      <w:jc w:val="center"/>
    </w:pPr>
    <w:rPr>
      <w:rFonts w:ascii="Times New Roman" w:eastAsia="SimSun" w:hAnsi="Times New Roman" w:cs="Times New Roman"/>
      <w:i/>
      <w:noProof/>
      <w:kern w:val="0"/>
      <w:sz w:val="16"/>
      <w:szCs w:val="20"/>
      <w:lang w:val="en-US"/>
      <w14:ligatures w14:val="none"/>
    </w:rPr>
  </w:style>
  <w:style w:type="paragraph" w:customStyle="1" w:styleId="Els-appendixhead">
    <w:name w:val="Els-appendixhead"/>
    <w:next w:val="Normal"/>
    <w:rsid w:val="00EF2814"/>
    <w:pPr>
      <w:numPr>
        <w:numId w:val="1"/>
      </w:numPr>
      <w:spacing w:before="480" w:after="240" w:line="220" w:lineRule="exact"/>
      <w:jc w:val="left"/>
    </w:pPr>
    <w:rPr>
      <w:rFonts w:ascii="Times New Roman" w:eastAsia="SimSun" w:hAnsi="Times New Roman" w:cs="Times New Roman"/>
      <w:b/>
      <w:kern w:val="0"/>
      <w:sz w:val="20"/>
      <w:szCs w:val="20"/>
      <w:lang w:val="en-US"/>
      <w14:ligatures w14:val="none"/>
    </w:rPr>
  </w:style>
  <w:style w:type="paragraph" w:customStyle="1" w:styleId="Els-appendixsubhead">
    <w:name w:val="Els-appendixsubhead"/>
    <w:next w:val="Normal"/>
    <w:rsid w:val="00EF2814"/>
    <w:pPr>
      <w:numPr>
        <w:ilvl w:val="1"/>
        <w:numId w:val="2"/>
      </w:numPr>
      <w:spacing w:before="240" w:after="240" w:line="220" w:lineRule="exact"/>
      <w:jc w:val="left"/>
    </w:pPr>
    <w:rPr>
      <w:rFonts w:ascii="Times New Roman" w:eastAsia="SimSun" w:hAnsi="Times New Roman" w:cs="Times New Roman"/>
      <w:i/>
      <w:kern w:val="0"/>
      <w:sz w:val="20"/>
      <w:szCs w:val="20"/>
      <w:lang w:val="en-US"/>
      <w14:ligatures w14:val="none"/>
    </w:rPr>
  </w:style>
  <w:style w:type="paragraph" w:customStyle="1" w:styleId="Els-Author">
    <w:name w:val="Els-Author"/>
    <w:next w:val="Normal"/>
    <w:rsid w:val="00EF2814"/>
    <w:pPr>
      <w:keepNext/>
      <w:suppressAutoHyphens/>
      <w:spacing w:after="160" w:line="300" w:lineRule="exact"/>
      <w:jc w:val="center"/>
    </w:pPr>
    <w:rPr>
      <w:rFonts w:ascii="Times New Roman" w:eastAsia="SimSun" w:hAnsi="Times New Roman" w:cs="Times New Roman"/>
      <w:noProof/>
      <w:kern w:val="0"/>
      <w:sz w:val="26"/>
      <w:szCs w:val="20"/>
      <w:lang w:val="en-US"/>
      <w14:ligatures w14:val="none"/>
    </w:rPr>
  </w:style>
  <w:style w:type="paragraph" w:customStyle="1" w:styleId="Els-body-text">
    <w:name w:val="Els-body-text"/>
    <w:rsid w:val="00EF2814"/>
    <w:pPr>
      <w:spacing w:line="240" w:lineRule="exact"/>
      <w:ind w:firstLine="238"/>
    </w:pPr>
    <w:rPr>
      <w:rFonts w:ascii="Times New Roman" w:eastAsia="SimSun" w:hAnsi="Times New Roman" w:cs="Times New Roman"/>
      <w:kern w:val="0"/>
      <w:sz w:val="20"/>
      <w:szCs w:val="20"/>
      <w:lang w:val="en-US"/>
      <w14:ligatures w14:val="none"/>
    </w:rPr>
  </w:style>
  <w:style w:type="paragraph" w:customStyle="1" w:styleId="Els-bulletlist">
    <w:name w:val="Els-bulletlist"/>
    <w:basedOn w:val="Els-body-text"/>
    <w:rsid w:val="00EF2814"/>
    <w:pPr>
      <w:numPr>
        <w:numId w:val="3"/>
      </w:numPr>
      <w:tabs>
        <w:tab w:val="left" w:pos="240"/>
      </w:tabs>
      <w:jc w:val="left"/>
    </w:pPr>
  </w:style>
  <w:style w:type="paragraph" w:customStyle="1" w:styleId="Els-caption">
    <w:name w:val="Els-caption"/>
    <w:rsid w:val="00EF2814"/>
    <w:pPr>
      <w:keepLines/>
      <w:spacing w:before="200" w:after="240" w:line="200" w:lineRule="exact"/>
      <w:jc w:val="left"/>
    </w:pPr>
    <w:rPr>
      <w:rFonts w:ascii="Times New Roman" w:eastAsia="SimSun" w:hAnsi="Times New Roman" w:cs="Times New Roman"/>
      <w:kern w:val="0"/>
      <w:sz w:val="16"/>
      <w:szCs w:val="20"/>
      <w:lang w:val="en-US"/>
      <w14:ligatures w14:val="none"/>
    </w:rPr>
  </w:style>
  <w:style w:type="paragraph" w:customStyle="1" w:styleId="Els-equation">
    <w:name w:val="Els-equation"/>
    <w:next w:val="Normal"/>
    <w:rsid w:val="00EF2814"/>
    <w:pPr>
      <w:widowControl w:val="0"/>
      <w:tabs>
        <w:tab w:val="right" w:pos="4320"/>
        <w:tab w:val="right" w:pos="9120"/>
      </w:tabs>
      <w:spacing w:before="240" w:after="240" w:line="240" w:lineRule="auto"/>
      <w:ind w:left="482"/>
      <w:jc w:val="left"/>
    </w:pPr>
    <w:rPr>
      <w:rFonts w:ascii="Times New Roman" w:eastAsia="SimSun" w:hAnsi="Times New Roman" w:cs="Times New Roman"/>
      <w:i/>
      <w:noProof/>
      <w:kern w:val="0"/>
      <w:sz w:val="20"/>
      <w:szCs w:val="20"/>
      <w:lang w:val="en-US"/>
      <w14:ligatures w14:val="none"/>
    </w:rPr>
  </w:style>
  <w:style w:type="paragraph" w:customStyle="1" w:styleId="Els-footnote">
    <w:name w:val="Els-footnote"/>
    <w:rsid w:val="00EF2814"/>
    <w:pPr>
      <w:keepLines/>
      <w:widowControl w:val="0"/>
      <w:spacing w:line="200" w:lineRule="exact"/>
      <w:ind w:firstLine="120"/>
    </w:pPr>
    <w:rPr>
      <w:rFonts w:ascii="Times New Roman" w:eastAsia="SimSun" w:hAnsi="Times New Roman" w:cs="Times New Roman"/>
      <w:kern w:val="0"/>
      <w:sz w:val="16"/>
      <w:szCs w:val="20"/>
      <w:lang w:val="en-US"/>
      <w14:ligatures w14:val="none"/>
    </w:rPr>
  </w:style>
  <w:style w:type="paragraph" w:customStyle="1" w:styleId="Els-keywords">
    <w:name w:val="Els-keywords"/>
    <w:next w:val="Normal"/>
    <w:rsid w:val="00EF2814"/>
    <w:pPr>
      <w:pBdr>
        <w:bottom w:val="single" w:sz="4" w:space="10" w:color="auto"/>
      </w:pBdr>
      <w:spacing w:after="200" w:line="200" w:lineRule="exact"/>
      <w:jc w:val="left"/>
    </w:pPr>
    <w:rPr>
      <w:rFonts w:ascii="Times New Roman" w:eastAsia="SimSun" w:hAnsi="Times New Roman" w:cs="Times New Roman"/>
      <w:noProof/>
      <w:kern w:val="0"/>
      <w:sz w:val="16"/>
      <w:szCs w:val="20"/>
      <w:lang w:val="en-US"/>
      <w14:ligatures w14:val="none"/>
    </w:rPr>
  </w:style>
  <w:style w:type="paragraph" w:customStyle="1" w:styleId="Els-reference">
    <w:name w:val="Els-reference"/>
    <w:rsid w:val="00EF2814"/>
    <w:pPr>
      <w:tabs>
        <w:tab w:val="left" w:pos="312"/>
      </w:tabs>
      <w:spacing w:line="200" w:lineRule="exact"/>
      <w:ind w:left="312" w:hanging="312"/>
      <w:jc w:val="left"/>
    </w:pPr>
    <w:rPr>
      <w:rFonts w:ascii="Times New Roman" w:eastAsia="SimSun" w:hAnsi="Times New Roman" w:cs="Times New Roman"/>
      <w:noProof/>
      <w:kern w:val="0"/>
      <w:sz w:val="16"/>
      <w:szCs w:val="20"/>
      <w:lang w:val="en-US"/>
      <w14:ligatures w14:val="none"/>
    </w:rPr>
  </w:style>
  <w:style w:type="paragraph" w:customStyle="1" w:styleId="Els-reference-head">
    <w:name w:val="Els-reference-head"/>
    <w:next w:val="Els-reference"/>
    <w:rsid w:val="00EF2814"/>
    <w:pPr>
      <w:keepNext/>
      <w:spacing w:before="480" w:after="200" w:line="220" w:lineRule="exact"/>
      <w:jc w:val="left"/>
    </w:pPr>
    <w:rPr>
      <w:rFonts w:ascii="Times New Roman" w:eastAsia="SimSun" w:hAnsi="Times New Roman" w:cs="Times New Roman"/>
      <w:b/>
      <w:kern w:val="0"/>
      <w:sz w:val="20"/>
      <w:szCs w:val="20"/>
      <w:lang w:val="en-US"/>
      <w14:ligatures w14:val="none"/>
    </w:rPr>
  </w:style>
  <w:style w:type="paragraph" w:customStyle="1" w:styleId="Els-table-text">
    <w:name w:val="Els-table-text"/>
    <w:rsid w:val="00EF2814"/>
    <w:pPr>
      <w:spacing w:after="80" w:line="200" w:lineRule="exact"/>
      <w:jc w:val="left"/>
    </w:pPr>
    <w:rPr>
      <w:rFonts w:ascii="Times New Roman" w:eastAsia="SimSun" w:hAnsi="Times New Roman" w:cs="Times New Roman"/>
      <w:kern w:val="0"/>
      <w:sz w:val="16"/>
      <w:szCs w:val="20"/>
      <w:lang w:val="en-US"/>
      <w14:ligatures w14:val="none"/>
    </w:rPr>
  </w:style>
  <w:style w:type="paragraph" w:customStyle="1" w:styleId="Els-Title">
    <w:name w:val="Els-Title"/>
    <w:next w:val="Els-Author"/>
    <w:autoRedefine/>
    <w:rsid w:val="004A1D23"/>
    <w:pPr>
      <w:suppressAutoHyphens/>
      <w:spacing w:after="240" w:line="400" w:lineRule="exact"/>
      <w:jc w:val="center"/>
    </w:pPr>
    <w:rPr>
      <w:rFonts w:ascii="Source Sans Pro" w:eastAsia="SimSun" w:hAnsi="Source Sans Pro" w:cs="Times New Roman"/>
      <w:kern w:val="0"/>
      <w:sz w:val="32"/>
      <w:szCs w:val="18"/>
      <w:lang w:val="en-US"/>
      <w14:ligatures w14:val="none"/>
    </w:rPr>
  </w:style>
  <w:style w:type="paragraph" w:styleId="Header">
    <w:name w:val="header"/>
    <w:link w:val="HeaderChar"/>
    <w:uiPriority w:val="99"/>
    <w:rsid w:val="00EF2814"/>
    <w:pPr>
      <w:tabs>
        <w:tab w:val="center" w:pos="4706"/>
        <w:tab w:val="right" w:pos="9356"/>
      </w:tabs>
      <w:spacing w:before="100" w:beforeAutospacing="1" w:after="240" w:line="200" w:lineRule="atLeast"/>
      <w:jc w:val="left"/>
    </w:pPr>
    <w:rPr>
      <w:rFonts w:ascii="Times New Roman" w:eastAsia="SimSun" w:hAnsi="Times New Roman" w:cs="Times New Roman"/>
      <w:i/>
      <w:noProof/>
      <w:kern w:val="0"/>
      <w:sz w:val="16"/>
      <w:szCs w:val="20"/>
      <w:lang w:val="en-US"/>
      <w14:ligatures w14:val="none"/>
    </w:rPr>
  </w:style>
  <w:style w:type="character" w:customStyle="1" w:styleId="HeaderChar">
    <w:name w:val="Header Char"/>
    <w:basedOn w:val="DefaultParagraphFont"/>
    <w:link w:val="Header"/>
    <w:uiPriority w:val="99"/>
    <w:rsid w:val="00EF2814"/>
    <w:rPr>
      <w:rFonts w:ascii="Times New Roman" w:eastAsia="SimSun" w:hAnsi="Times New Roman" w:cs="Times New Roman"/>
      <w:i/>
      <w:noProof/>
      <w:kern w:val="0"/>
      <w:sz w:val="16"/>
      <w:szCs w:val="20"/>
      <w:lang w:val="en-US"/>
      <w14:ligatures w14:val="none"/>
    </w:rPr>
  </w:style>
  <w:style w:type="paragraph" w:styleId="Footer">
    <w:name w:val="footer"/>
    <w:basedOn w:val="Header"/>
    <w:link w:val="FooterChar"/>
    <w:semiHidden/>
    <w:rsid w:val="00EF2814"/>
    <w:pPr>
      <w:tabs>
        <w:tab w:val="right" w:pos="10080"/>
      </w:tabs>
      <w:spacing w:before="240" w:beforeAutospacing="0" w:after="0" w:line="200" w:lineRule="exact"/>
    </w:pPr>
    <w:rPr>
      <w:i w:val="0"/>
    </w:rPr>
  </w:style>
  <w:style w:type="character" w:customStyle="1" w:styleId="FooterChar">
    <w:name w:val="Footer Char"/>
    <w:basedOn w:val="DefaultParagraphFont"/>
    <w:link w:val="Footer"/>
    <w:semiHidden/>
    <w:rsid w:val="00EF2814"/>
    <w:rPr>
      <w:rFonts w:ascii="Times New Roman" w:eastAsia="SimSun" w:hAnsi="Times New Roman" w:cs="Times New Roman"/>
      <w:noProof/>
      <w:kern w:val="0"/>
      <w:sz w:val="16"/>
      <w:szCs w:val="20"/>
      <w:lang w:val="en-US"/>
      <w14:ligatures w14:val="none"/>
    </w:rPr>
  </w:style>
  <w:style w:type="character" w:styleId="FootnoteReference">
    <w:name w:val="footnote reference"/>
    <w:semiHidden/>
    <w:rsid w:val="00EF2814"/>
    <w:rPr>
      <w:vertAlign w:val="superscript"/>
    </w:rPr>
  </w:style>
  <w:style w:type="paragraph" w:styleId="FootnoteText">
    <w:name w:val="footnote text"/>
    <w:basedOn w:val="Normal"/>
    <w:link w:val="FootnoteTextChar"/>
    <w:semiHidden/>
    <w:rsid w:val="00EF2814"/>
    <w:rPr>
      <w:rFonts w:ascii="Univers" w:hAnsi="Univers"/>
    </w:rPr>
  </w:style>
  <w:style w:type="character" w:customStyle="1" w:styleId="FootnoteTextChar">
    <w:name w:val="Footnote Text Char"/>
    <w:basedOn w:val="DefaultParagraphFont"/>
    <w:link w:val="FootnoteText"/>
    <w:semiHidden/>
    <w:rsid w:val="00EF2814"/>
    <w:rPr>
      <w:rFonts w:ascii="Univers" w:eastAsia="SimSun" w:hAnsi="Univers" w:cs="Times New Roman"/>
      <w:kern w:val="0"/>
      <w:sz w:val="20"/>
      <w:szCs w:val="20"/>
      <w:lang w:val="en-GB"/>
      <w14:ligatures w14:val="none"/>
    </w:rPr>
  </w:style>
  <w:style w:type="character" w:styleId="Hyperlink">
    <w:name w:val="Hyperlink"/>
    <w:uiPriority w:val="99"/>
    <w:semiHidden/>
    <w:rsid w:val="00EF2814"/>
    <w:rPr>
      <w:color w:val="auto"/>
      <w:sz w:val="16"/>
      <w:u w:val="none"/>
    </w:rPr>
  </w:style>
  <w:style w:type="character" w:styleId="PageNumber">
    <w:name w:val="page number"/>
    <w:semiHidden/>
    <w:rsid w:val="00EF2814"/>
    <w:rPr>
      <w:sz w:val="16"/>
    </w:rPr>
  </w:style>
  <w:style w:type="paragraph" w:customStyle="1" w:styleId="DocHead">
    <w:name w:val="DocHead"/>
    <w:rsid w:val="00EF2814"/>
    <w:pPr>
      <w:spacing w:before="240" w:after="240" w:line="240" w:lineRule="auto"/>
      <w:jc w:val="center"/>
    </w:pPr>
    <w:rPr>
      <w:rFonts w:ascii="Times New Roman" w:eastAsia="SimSun" w:hAnsi="Times New Roman" w:cs="Times New Roman"/>
      <w:kern w:val="0"/>
      <w:sz w:val="24"/>
      <w:szCs w:val="20"/>
      <w:lang w:val="en-US"/>
      <w14:ligatures w14:val="none"/>
    </w:rPr>
  </w:style>
  <w:style w:type="paragraph" w:styleId="CommentText">
    <w:name w:val="annotation text"/>
    <w:basedOn w:val="Normal"/>
    <w:link w:val="CommentTextChar"/>
    <w:semiHidden/>
    <w:unhideWhenUsed/>
    <w:rsid w:val="00EF2814"/>
  </w:style>
  <w:style w:type="character" w:customStyle="1" w:styleId="CommentTextChar">
    <w:name w:val="Comment Text Char"/>
    <w:basedOn w:val="DefaultParagraphFont"/>
    <w:link w:val="CommentText"/>
    <w:semiHidden/>
    <w:rsid w:val="00EF2814"/>
    <w:rPr>
      <w:rFonts w:ascii="Times New Roman" w:eastAsia="SimSun" w:hAnsi="Times New Roman" w:cs="Times New Roman"/>
      <w:kern w:val="0"/>
      <w:sz w:val="20"/>
      <w:szCs w:val="20"/>
      <w:lang w:val="en-GB"/>
      <w14:ligatures w14:val="none"/>
    </w:rPr>
  </w:style>
  <w:style w:type="paragraph" w:styleId="BodyTextIndent2">
    <w:name w:val="Body Text Indent 2"/>
    <w:basedOn w:val="Normal"/>
    <w:link w:val="BodyTextIndent2Char"/>
    <w:semiHidden/>
    <w:rsid w:val="00EF2814"/>
    <w:pPr>
      <w:ind w:firstLine="240"/>
    </w:pPr>
  </w:style>
  <w:style w:type="character" w:customStyle="1" w:styleId="BodyTextIndent2Char">
    <w:name w:val="Body Text Indent 2 Char"/>
    <w:basedOn w:val="DefaultParagraphFont"/>
    <w:link w:val="BodyTextIndent2"/>
    <w:semiHidden/>
    <w:rsid w:val="00EF2814"/>
    <w:rPr>
      <w:rFonts w:ascii="Times New Roman" w:eastAsia="SimSun" w:hAnsi="Times New Roman" w:cs="Times New Roman"/>
      <w:kern w:val="0"/>
      <w:sz w:val="20"/>
      <w:szCs w:val="20"/>
      <w:lang w:val="en-GB"/>
      <w14:ligatures w14:val="none"/>
    </w:rPr>
  </w:style>
  <w:style w:type="character" w:customStyle="1" w:styleId="UnresolvedMention1">
    <w:name w:val="Unresolved Mention1"/>
    <w:basedOn w:val="DefaultParagraphFont"/>
    <w:uiPriority w:val="99"/>
    <w:semiHidden/>
    <w:unhideWhenUsed/>
    <w:rsid w:val="00586964"/>
    <w:rPr>
      <w:color w:val="605E5C"/>
      <w:shd w:val="clear" w:color="auto" w:fill="E1DFDD"/>
    </w:rPr>
  </w:style>
  <w:style w:type="character" w:styleId="FollowedHyperlink">
    <w:name w:val="FollowedHyperlink"/>
    <w:basedOn w:val="DefaultParagraphFont"/>
    <w:uiPriority w:val="99"/>
    <w:semiHidden/>
    <w:unhideWhenUsed/>
    <w:rsid w:val="002F5A0F"/>
    <w:rPr>
      <w:color w:val="96607D" w:themeColor="followedHyperlink"/>
      <w:u w:val="single"/>
    </w:rPr>
  </w:style>
  <w:style w:type="table" w:styleId="PlainTable4">
    <w:name w:val="Plain Table 4"/>
    <w:basedOn w:val="TableNormal"/>
    <w:uiPriority w:val="44"/>
    <w:rsid w:val="00FE1521"/>
    <w:pPr>
      <w:spacing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F94B60"/>
    <w:pPr>
      <w:widowControl/>
      <w:spacing w:before="100" w:beforeAutospacing="1" w:after="100" w:afterAutospacing="1"/>
    </w:pPr>
    <w:rPr>
      <w:rFonts w:eastAsia="Times New Roman"/>
      <w:sz w:val="24"/>
      <w:szCs w:val="24"/>
      <w:lang w:val="en-IN" w:eastAsia="en-IN"/>
    </w:rPr>
  </w:style>
  <w:style w:type="character" w:styleId="Strong">
    <w:name w:val="Strong"/>
    <w:basedOn w:val="DefaultParagraphFont"/>
    <w:uiPriority w:val="22"/>
    <w:qFormat/>
    <w:rsid w:val="00F94B60"/>
    <w:rPr>
      <w:b/>
      <w:bCs/>
    </w:rPr>
  </w:style>
  <w:style w:type="table" w:styleId="TableGrid">
    <w:name w:val="Table Grid"/>
    <w:basedOn w:val="TableNormal"/>
    <w:uiPriority w:val="39"/>
    <w:rsid w:val="00BB3D8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623B5"/>
    <w:rPr>
      <w:color w:val="666666"/>
    </w:rPr>
  </w:style>
  <w:style w:type="character" w:customStyle="1" w:styleId="UnresolvedMention2">
    <w:name w:val="Unresolved Mention2"/>
    <w:basedOn w:val="DefaultParagraphFont"/>
    <w:uiPriority w:val="99"/>
    <w:semiHidden/>
    <w:unhideWhenUsed/>
    <w:rsid w:val="00CA5074"/>
    <w:rPr>
      <w:color w:val="605E5C"/>
      <w:shd w:val="clear" w:color="auto" w:fill="E1DFDD"/>
    </w:rPr>
  </w:style>
  <w:style w:type="character" w:customStyle="1" w:styleId="UnresolvedMention">
    <w:name w:val="Unresolved Mention"/>
    <w:basedOn w:val="DefaultParagraphFont"/>
    <w:uiPriority w:val="99"/>
    <w:semiHidden/>
    <w:unhideWhenUsed/>
    <w:rsid w:val="00685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287">
      <w:bodyDiv w:val="1"/>
      <w:marLeft w:val="0"/>
      <w:marRight w:val="0"/>
      <w:marTop w:val="0"/>
      <w:marBottom w:val="0"/>
      <w:divBdr>
        <w:top w:val="none" w:sz="0" w:space="0" w:color="auto"/>
        <w:left w:val="none" w:sz="0" w:space="0" w:color="auto"/>
        <w:bottom w:val="none" w:sz="0" w:space="0" w:color="auto"/>
        <w:right w:val="none" w:sz="0" w:space="0" w:color="auto"/>
      </w:divBdr>
    </w:div>
    <w:div w:id="133063273">
      <w:bodyDiv w:val="1"/>
      <w:marLeft w:val="0"/>
      <w:marRight w:val="0"/>
      <w:marTop w:val="0"/>
      <w:marBottom w:val="0"/>
      <w:divBdr>
        <w:top w:val="none" w:sz="0" w:space="0" w:color="auto"/>
        <w:left w:val="none" w:sz="0" w:space="0" w:color="auto"/>
        <w:bottom w:val="none" w:sz="0" w:space="0" w:color="auto"/>
        <w:right w:val="none" w:sz="0" w:space="0" w:color="auto"/>
      </w:divBdr>
    </w:div>
    <w:div w:id="188300178">
      <w:bodyDiv w:val="1"/>
      <w:marLeft w:val="0"/>
      <w:marRight w:val="0"/>
      <w:marTop w:val="0"/>
      <w:marBottom w:val="0"/>
      <w:divBdr>
        <w:top w:val="none" w:sz="0" w:space="0" w:color="auto"/>
        <w:left w:val="none" w:sz="0" w:space="0" w:color="auto"/>
        <w:bottom w:val="none" w:sz="0" w:space="0" w:color="auto"/>
        <w:right w:val="none" w:sz="0" w:space="0" w:color="auto"/>
      </w:divBdr>
    </w:div>
    <w:div w:id="207500351">
      <w:bodyDiv w:val="1"/>
      <w:marLeft w:val="0"/>
      <w:marRight w:val="0"/>
      <w:marTop w:val="0"/>
      <w:marBottom w:val="0"/>
      <w:divBdr>
        <w:top w:val="none" w:sz="0" w:space="0" w:color="auto"/>
        <w:left w:val="none" w:sz="0" w:space="0" w:color="auto"/>
        <w:bottom w:val="none" w:sz="0" w:space="0" w:color="auto"/>
        <w:right w:val="none" w:sz="0" w:space="0" w:color="auto"/>
      </w:divBdr>
    </w:div>
    <w:div w:id="212468065">
      <w:bodyDiv w:val="1"/>
      <w:marLeft w:val="0"/>
      <w:marRight w:val="0"/>
      <w:marTop w:val="0"/>
      <w:marBottom w:val="0"/>
      <w:divBdr>
        <w:top w:val="none" w:sz="0" w:space="0" w:color="auto"/>
        <w:left w:val="none" w:sz="0" w:space="0" w:color="auto"/>
        <w:bottom w:val="none" w:sz="0" w:space="0" w:color="auto"/>
        <w:right w:val="none" w:sz="0" w:space="0" w:color="auto"/>
      </w:divBdr>
    </w:div>
    <w:div w:id="265698872">
      <w:bodyDiv w:val="1"/>
      <w:marLeft w:val="0"/>
      <w:marRight w:val="0"/>
      <w:marTop w:val="0"/>
      <w:marBottom w:val="0"/>
      <w:divBdr>
        <w:top w:val="none" w:sz="0" w:space="0" w:color="auto"/>
        <w:left w:val="none" w:sz="0" w:space="0" w:color="auto"/>
        <w:bottom w:val="none" w:sz="0" w:space="0" w:color="auto"/>
        <w:right w:val="none" w:sz="0" w:space="0" w:color="auto"/>
      </w:divBdr>
    </w:div>
    <w:div w:id="393089855">
      <w:bodyDiv w:val="1"/>
      <w:marLeft w:val="0"/>
      <w:marRight w:val="0"/>
      <w:marTop w:val="0"/>
      <w:marBottom w:val="0"/>
      <w:divBdr>
        <w:top w:val="none" w:sz="0" w:space="0" w:color="auto"/>
        <w:left w:val="none" w:sz="0" w:space="0" w:color="auto"/>
        <w:bottom w:val="none" w:sz="0" w:space="0" w:color="auto"/>
        <w:right w:val="none" w:sz="0" w:space="0" w:color="auto"/>
      </w:divBdr>
    </w:div>
    <w:div w:id="406996621">
      <w:bodyDiv w:val="1"/>
      <w:marLeft w:val="0"/>
      <w:marRight w:val="0"/>
      <w:marTop w:val="0"/>
      <w:marBottom w:val="0"/>
      <w:divBdr>
        <w:top w:val="none" w:sz="0" w:space="0" w:color="auto"/>
        <w:left w:val="none" w:sz="0" w:space="0" w:color="auto"/>
        <w:bottom w:val="none" w:sz="0" w:space="0" w:color="auto"/>
        <w:right w:val="none" w:sz="0" w:space="0" w:color="auto"/>
      </w:divBdr>
    </w:div>
    <w:div w:id="471867051">
      <w:bodyDiv w:val="1"/>
      <w:marLeft w:val="0"/>
      <w:marRight w:val="0"/>
      <w:marTop w:val="0"/>
      <w:marBottom w:val="0"/>
      <w:divBdr>
        <w:top w:val="none" w:sz="0" w:space="0" w:color="auto"/>
        <w:left w:val="none" w:sz="0" w:space="0" w:color="auto"/>
        <w:bottom w:val="none" w:sz="0" w:space="0" w:color="auto"/>
        <w:right w:val="none" w:sz="0" w:space="0" w:color="auto"/>
      </w:divBdr>
    </w:div>
    <w:div w:id="505290789">
      <w:bodyDiv w:val="1"/>
      <w:marLeft w:val="0"/>
      <w:marRight w:val="0"/>
      <w:marTop w:val="0"/>
      <w:marBottom w:val="0"/>
      <w:divBdr>
        <w:top w:val="none" w:sz="0" w:space="0" w:color="auto"/>
        <w:left w:val="none" w:sz="0" w:space="0" w:color="auto"/>
        <w:bottom w:val="none" w:sz="0" w:space="0" w:color="auto"/>
        <w:right w:val="none" w:sz="0" w:space="0" w:color="auto"/>
      </w:divBdr>
    </w:div>
    <w:div w:id="668212110">
      <w:bodyDiv w:val="1"/>
      <w:marLeft w:val="0"/>
      <w:marRight w:val="0"/>
      <w:marTop w:val="0"/>
      <w:marBottom w:val="0"/>
      <w:divBdr>
        <w:top w:val="none" w:sz="0" w:space="0" w:color="auto"/>
        <w:left w:val="none" w:sz="0" w:space="0" w:color="auto"/>
        <w:bottom w:val="none" w:sz="0" w:space="0" w:color="auto"/>
        <w:right w:val="none" w:sz="0" w:space="0" w:color="auto"/>
      </w:divBdr>
    </w:div>
    <w:div w:id="720136840">
      <w:bodyDiv w:val="1"/>
      <w:marLeft w:val="0"/>
      <w:marRight w:val="0"/>
      <w:marTop w:val="0"/>
      <w:marBottom w:val="0"/>
      <w:divBdr>
        <w:top w:val="none" w:sz="0" w:space="0" w:color="auto"/>
        <w:left w:val="none" w:sz="0" w:space="0" w:color="auto"/>
        <w:bottom w:val="none" w:sz="0" w:space="0" w:color="auto"/>
        <w:right w:val="none" w:sz="0" w:space="0" w:color="auto"/>
      </w:divBdr>
    </w:div>
    <w:div w:id="1009599531">
      <w:bodyDiv w:val="1"/>
      <w:marLeft w:val="0"/>
      <w:marRight w:val="0"/>
      <w:marTop w:val="0"/>
      <w:marBottom w:val="0"/>
      <w:divBdr>
        <w:top w:val="none" w:sz="0" w:space="0" w:color="auto"/>
        <w:left w:val="none" w:sz="0" w:space="0" w:color="auto"/>
        <w:bottom w:val="none" w:sz="0" w:space="0" w:color="auto"/>
        <w:right w:val="none" w:sz="0" w:space="0" w:color="auto"/>
      </w:divBdr>
    </w:div>
    <w:div w:id="1109352137">
      <w:bodyDiv w:val="1"/>
      <w:marLeft w:val="0"/>
      <w:marRight w:val="0"/>
      <w:marTop w:val="0"/>
      <w:marBottom w:val="0"/>
      <w:divBdr>
        <w:top w:val="none" w:sz="0" w:space="0" w:color="auto"/>
        <w:left w:val="none" w:sz="0" w:space="0" w:color="auto"/>
        <w:bottom w:val="none" w:sz="0" w:space="0" w:color="auto"/>
        <w:right w:val="none" w:sz="0" w:space="0" w:color="auto"/>
      </w:divBdr>
      <w:divsChild>
        <w:div w:id="620764951">
          <w:marLeft w:val="547"/>
          <w:marRight w:val="0"/>
          <w:marTop w:val="0"/>
          <w:marBottom w:val="0"/>
          <w:divBdr>
            <w:top w:val="none" w:sz="0" w:space="0" w:color="auto"/>
            <w:left w:val="none" w:sz="0" w:space="0" w:color="auto"/>
            <w:bottom w:val="none" w:sz="0" w:space="0" w:color="auto"/>
            <w:right w:val="none" w:sz="0" w:space="0" w:color="auto"/>
          </w:divBdr>
        </w:div>
        <w:div w:id="997923122">
          <w:marLeft w:val="547"/>
          <w:marRight w:val="0"/>
          <w:marTop w:val="0"/>
          <w:marBottom w:val="0"/>
          <w:divBdr>
            <w:top w:val="none" w:sz="0" w:space="0" w:color="auto"/>
            <w:left w:val="none" w:sz="0" w:space="0" w:color="auto"/>
            <w:bottom w:val="none" w:sz="0" w:space="0" w:color="auto"/>
            <w:right w:val="none" w:sz="0" w:space="0" w:color="auto"/>
          </w:divBdr>
        </w:div>
        <w:div w:id="1087656857">
          <w:marLeft w:val="547"/>
          <w:marRight w:val="0"/>
          <w:marTop w:val="0"/>
          <w:marBottom w:val="0"/>
          <w:divBdr>
            <w:top w:val="none" w:sz="0" w:space="0" w:color="auto"/>
            <w:left w:val="none" w:sz="0" w:space="0" w:color="auto"/>
            <w:bottom w:val="none" w:sz="0" w:space="0" w:color="auto"/>
            <w:right w:val="none" w:sz="0" w:space="0" w:color="auto"/>
          </w:divBdr>
        </w:div>
        <w:div w:id="1489403148">
          <w:marLeft w:val="547"/>
          <w:marRight w:val="0"/>
          <w:marTop w:val="0"/>
          <w:marBottom w:val="0"/>
          <w:divBdr>
            <w:top w:val="none" w:sz="0" w:space="0" w:color="auto"/>
            <w:left w:val="none" w:sz="0" w:space="0" w:color="auto"/>
            <w:bottom w:val="none" w:sz="0" w:space="0" w:color="auto"/>
            <w:right w:val="none" w:sz="0" w:space="0" w:color="auto"/>
          </w:divBdr>
        </w:div>
        <w:div w:id="1705597096">
          <w:marLeft w:val="547"/>
          <w:marRight w:val="0"/>
          <w:marTop w:val="0"/>
          <w:marBottom w:val="0"/>
          <w:divBdr>
            <w:top w:val="none" w:sz="0" w:space="0" w:color="auto"/>
            <w:left w:val="none" w:sz="0" w:space="0" w:color="auto"/>
            <w:bottom w:val="none" w:sz="0" w:space="0" w:color="auto"/>
            <w:right w:val="none" w:sz="0" w:space="0" w:color="auto"/>
          </w:divBdr>
        </w:div>
        <w:div w:id="1728725999">
          <w:marLeft w:val="547"/>
          <w:marRight w:val="0"/>
          <w:marTop w:val="0"/>
          <w:marBottom w:val="0"/>
          <w:divBdr>
            <w:top w:val="none" w:sz="0" w:space="0" w:color="auto"/>
            <w:left w:val="none" w:sz="0" w:space="0" w:color="auto"/>
            <w:bottom w:val="none" w:sz="0" w:space="0" w:color="auto"/>
            <w:right w:val="none" w:sz="0" w:space="0" w:color="auto"/>
          </w:divBdr>
        </w:div>
        <w:div w:id="1893080043">
          <w:marLeft w:val="547"/>
          <w:marRight w:val="0"/>
          <w:marTop w:val="0"/>
          <w:marBottom w:val="0"/>
          <w:divBdr>
            <w:top w:val="none" w:sz="0" w:space="0" w:color="auto"/>
            <w:left w:val="none" w:sz="0" w:space="0" w:color="auto"/>
            <w:bottom w:val="none" w:sz="0" w:space="0" w:color="auto"/>
            <w:right w:val="none" w:sz="0" w:space="0" w:color="auto"/>
          </w:divBdr>
        </w:div>
      </w:divsChild>
    </w:div>
    <w:div w:id="1327519413">
      <w:bodyDiv w:val="1"/>
      <w:marLeft w:val="0"/>
      <w:marRight w:val="0"/>
      <w:marTop w:val="0"/>
      <w:marBottom w:val="0"/>
      <w:divBdr>
        <w:top w:val="none" w:sz="0" w:space="0" w:color="auto"/>
        <w:left w:val="none" w:sz="0" w:space="0" w:color="auto"/>
        <w:bottom w:val="none" w:sz="0" w:space="0" w:color="auto"/>
        <w:right w:val="none" w:sz="0" w:space="0" w:color="auto"/>
      </w:divBdr>
    </w:div>
    <w:div w:id="1336567877">
      <w:bodyDiv w:val="1"/>
      <w:marLeft w:val="0"/>
      <w:marRight w:val="0"/>
      <w:marTop w:val="0"/>
      <w:marBottom w:val="0"/>
      <w:divBdr>
        <w:top w:val="none" w:sz="0" w:space="0" w:color="auto"/>
        <w:left w:val="none" w:sz="0" w:space="0" w:color="auto"/>
        <w:bottom w:val="none" w:sz="0" w:space="0" w:color="auto"/>
        <w:right w:val="none" w:sz="0" w:space="0" w:color="auto"/>
      </w:divBdr>
    </w:div>
    <w:div w:id="1522089624">
      <w:bodyDiv w:val="1"/>
      <w:marLeft w:val="0"/>
      <w:marRight w:val="0"/>
      <w:marTop w:val="0"/>
      <w:marBottom w:val="0"/>
      <w:divBdr>
        <w:top w:val="none" w:sz="0" w:space="0" w:color="auto"/>
        <w:left w:val="none" w:sz="0" w:space="0" w:color="auto"/>
        <w:bottom w:val="none" w:sz="0" w:space="0" w:color="auto"/>
        <w:right w:val="none" w:sz="0" w:space="0" w:color="auto"/>
      </w:divBdr>
    </w:div>
    <w:div w:id="1882862109">
      <w:bodyDiv w:val="1"/>
      <w:marLeft w:val="0"/>
      <w:marRight w:val="0"/>
      <w:marTop w:val="0"/>
      <w:marBottom w:val="0"/>
      <w:divBdr>
        <w:top w:val="none" w:sz="0" w:space="0" w:color="auto"/>
        <w:left w:val="none" w:sz="0" w:space="0" w:color="auto"/>
        <w:bottom w:val="none" w:sz="0" w:space="0" w:color="auto"/>
        <w:right w:val="none" w:sz="0" w:space="0" w:color="auto"/>
      </w:divBdr>
    </w:div>
    <w:div w:id="1884095424">
      <w:bodyDiv w:val="1"/>
      <w:marLeft w:val="0"/>
      <w:marRight w:val="0"/>
      <w:marTop w:val="0"/>
      <w:marBottom w:val="0"/>
      <w:divBdr>
        <w:top w:val="none" w:sz="0" w:space="0" w:color="auto"/>
        <w:left w:val="none" w:sz="0" w:space="0" w:color="auto"/>
        <w:bottom w:val="none" w:sz="0" w:space="0" w:color="auto"/>
        <w:right w:val="none" w:sz="0" w:space="0" w:color="auto"/>
      </w:divBdr>
    </w:div>
    <w:div w:id="20193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upmalik321@gmail.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8B191-96DB-4FDD-B43F-8B7D780F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6</Pages>
  <Words>2235</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Setti</dc:creator>
  <cp:keywords/>
  <dc:description/>
  <cp:lastModifiedBy>Microsoft account</cp:lastModifiedBy>
  <cp:revision>48</cp:revision>
  <cp:lastPrinted>2025-03-24T10:05:00Z</cp:lastPrinted>
  <dcterms:created xsi:type="dcterms:W3CDTF">2024-07-29T05:21:00Z</dcterms:created>
  <dcterms:modified xsi:type="dcterms:W3CDTF">2026-01-27T15:30:00Z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fa3bc1ff844f9736bbdf8172abd5cc616cb0e82221891beffa64bee8f1d27bb3</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6th/7th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12th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http://www.zotero.org/styles/springer-basic-author-date</vt:lpwstr>
  </property>
  <property fmtid="{D5CDD505-2E9C-101B-9397-08002B2CF9AE}" pid="17" name="Mendeley Recent Style Name 6_1">
    <vt:lpwstr>Springer - Basic (author-date)</vt:lpwstr>
  </property>
  <property fmtid="{D5CDD505-2E9C-101B-9397-08002B2CF9AE}" pid="18" name="Mendeley Recent Style Id 7_1">
    <vt:lpwstr>http://www.zotero.org/styles/springer-basic-brackets</vt:lpwstr>
  </property>
  <property fmtid="{D5CDD505-2E9C-101B-9397-08002B2CF9AE}" pid="19" name="Mendeley Recent Style Name 7_1">
    <vt:lpwstr>Springer - Basic (numeric, brackets)</vt:lpwstr>
  </property>
  <property fmtid="{D5CDD505-2E9C-101B-9397-08002B2CF9AE}" pid="20" name="Mendeley Recent Style Id 8_1">
    <vt:lpwstr>http://www.zotero.org/styles/springer-vancouver-author-date</vt:lpwstr>
  </property>
  <property fmtid="{D5CDD505-2E9C-101B-9397-08002B2CF9AE}" pid="21" name="Mendeley Recent Style Name 8_1">
    <vt:lpwstr>Springer - Vancouver (author-date)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1c44d619-1d00-360a-ab84-b3e27029c43f</vt:lpwstr>
  </property>
  <property fmtid="{D5CDD505-2E9C-101B-9397-08002B2CF9AE}" pid="25" name="Mendeley Citation Style_1">
    <vt:lpwstr>http://www.zotero.org/styles/ieee</vt:lpwstr>
  </property>
</Properties>
</file>